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3870" w14:textId="33723516" w:rsidR="003B6EE2" w:rsidRPr="00812B9F" w:rsidRDefault="003B6EE2" w:rsidP="007C3405">
      <w:pPr>
        <w:suppressAutoHyphens w:val="0"/>
        <w:spacing w:after="160" w:line="276" w:lineRule="auto"/>
        <w:rPr>
          <w:rFonts w:ascii="Aptos" w:hAnsi="Aptos"/>
          <w:b/>
          <w:bCs/>
          <w:i/>
          <w:iCs/>
        </w:rPr>
      </w:pPr>
      <w:r w:rsidRPr="00812B9F">
        <w:rPr>
          <w:rFonts w:ascii="Aptos" w:hAnsi="Aptos"/>
          <w:b/>
          <w:bCs/>
          <w:i/>
          <w:iCs/>
        </w:rPr>
        <w:t xml:space="preserve">Mendocino County </w:t>
      </w:r>
      <w:r w:rsidRPr="00812B9F">
        <w:rPr>
          <w:rFonts w:ascii="Aptos" w:hAnsi="Aptos"/>
          <w:b/>
          <w:bCs/>
          <w:i/>
          <w:iCs/>
        </w:rPr>
        <w:br/>
      </w:r>
      <w:r w:rsidRPr="00812B9F">
        <w:rPr>
          <w:rFonts w:ascii="Aptos" w:hAnsi="Aptos"/>
          <w:b/>
          <w:bCs/>
          <w:i/>
          <w:iCs/>
          <w:sz w:val="32"/>
          <w:szCs w:val="32"/>
        </w:rPr>
        <w:t>Inland Water &amp; Power Commission</w:t>
      </w:r>
      <w:r w:rsidRPr="00812B9F">
        <w:rPr>
          <w:rFonts w:ascii="Aptos" w:hAnsi="Aptos"/>
          <w:b/>
          <w:bCs/>
          <w:i/>
          <w:iCs/>
        </w:rPr>
        <w:br/>
        <w:t xml:space="preserve">P.O. Box 1247  •  Ukiah, CA 95482 </w:t>
      </w:r>
      <w:r w:rsidRPr="00812B9F">
        <w:rPr>
          <w:rFonts w:ascii="Aptos" w:hAnsi="Aptos"/>
          <w:b/>
          <w:bCs/>
          <w:i/>
          <w:iCs/>
        </w:rPr>
        <w:br/>
        <w:t xml:space="preserve">Phone (707) 391-7574  •   Email: </w:t>
      </w:r>
      <w:hyperlink r:id="rId8" w:history="1">
        <w:r w:rsidRPr="00812B9F">
          <w:rPr>
            <w:rStyle w:val="Hyperlink"/>
            <w:rFonts w:ascii="Aptos" w:hAnsi="Aptos"/>
            <w:b/>
            <w:bCs/>
            <w:i/>
            <w:iCs/>
          </w:rPr>
          <w:t>IWPC@mendoiwpc.com</w:t>
        </w:r>
      </w:hyperlink>
      <w:r w:rsidRPr="00812B9F">
        <w:rPr>
          <w:rFonts w:ascii="Aptos" w:hAnsi="Aptos"/>
          <w:b/>
          <w:bCs/>
          <w:i/>
          <w:iCs/>
        </w:rPr>
        <w:t xml:space="preserve"> </w:t>
      </w:r>
    </w:p>
    <w:p w14:paraId="147A8064" w14:textId="77777777" w:rsidR="003B6EE2" w:rsidRPr="00812B9F" w:rsidRDefault="003B6EE2" w:rsidP="007C3405">
      <w:pPr>
        <w:suppressAutoHyphens w:val="0"/>
        <w:spacing w:after="160" w:line="276" w:lineRule="auto"/>
        <w:rPr>
          <w:rFonts w:ascii="Aptos" w:hAnsi="Aptos"/>
          <w:b/>
          <w:bCs/>
        </w:rPr>
      </w:pPr>
    </w:p>
    <w:p w14:paraId="3D81B2F9" w14:textId="77777777" w:rsidR="003B6EE2" w:rsidRPr="00812B9F" w:rsidRDefault="003B6EE2" w:rsidP="007C3405">
      <w:pPr>
        <w:suppressAutoHyphens w:val="0"/>
        <w:spacing w:after="160" w:line="276" w:lineRule="auto"/>
        <w:jc w:val="center"/>
        <w:rPr>
          <w:rFonts w:ascii="Aptos" w:hAnsi="Aptos"/>
          <w:b/>
          <w:bCs/>
          <w:u w:val="single"/>
        </w:rPr>
      </w:pPr>
      <w:r w:rsidRPr="00812B9F">
        <w:rPr>
          <w:rFonts w:ascii="Aptos" w:hAnsi="Aptos"/>
          <w:b/>
          <w:bCs/>
          <w:u w:val="single"/>
        </w:rPr>
        <w:t>Staff Report</w:t>
      </w:r>
    </w:p>
    <w:p w14:paraId="2E0D5F1F" w14:textId="293C9860" w:rsidR="003B6EE2" w:rsidRPr="00812B9F" w:rsidRDefault="003B6EE2" w:rsidP="007C3405">
      <w:pPr>
        <w:suppressAutoHyphens w:val="0"/>
        <w:spacing w:after="160" w:line="276" w:lineRule="auto"/>
        <w:rPr>
          <w:rFonts w:ascii="Aptos" w:hAnsi="Aptos"/>
        </w:rPr>
      </w:pPr>
      <w:r w:rsidRPr="00812B9F">
        <w:rPr>
          <w:rFonts w:ascii="Aptos" w:hAnsi="Aptos"/>
        </w:rPr>
        <w:t xml:space="preserve">To:  </w:t>
      </w:r>
      <w:r w:rsidRPr="00812B9F">
        <w:rPr>
          <w:rFonts w:ascii="Aptos" w:hAnsi="Aptos"/>
        </w:rPr>
        <w:tab/>
      </w:r>
      <w:r w:rsidRPr="00812B9F">
        <w:rPr>
          <w:rFonts w:ascii="Aptos" w:hAnsi="Aptos"/>
        </w:rPr>
        <w:tab/>
        <w:t>MCIWPC Commissioners</w:t>
      </w:r>
    </w:p>
    <w:p w14:paraId="3F19451C" w14:textId="785B9FFF" w:rsidR="003B6EE2" w:rsidRPr="00812B9F" w:rsidRDefault="003B6EE2" w:rsidP="007C3405">
      <w:pPr>
        <w:suppressAutoHyphens w:val="0"/>
        <w:spacing w:after="160" w:line="276" w:lineRule="auto"/>
        <w:rPr>
          <w:rFonts w:ascii="Aptos" w:hAnsi="Aptos"/>
        </w:rPr>
      </w:pPr>
      <w:r w:rsidRPr="00812B9F">
        <w:rPr>
          <w:rFonts w:ascii="Aptos" w:hAnsi="Aptos"/>
        </w:rPr>
        <w:t xml:space="preserve">From: </w:t>
      </w:r>
      <w:r w:rsidRPr="00812B9F">
        <w:rPr>
          <w:rFonts w:ascii="Aptos" w:hAnsi="Aptos"/>
        </w:rPr>
        <w:tab/>
      </w:r>
      <w:r w:rsidRPr="00812B9F">
        <w:rPr>
          <w:rFonts w:ascii="Aptos" w:hAnsi="Aptos"/>
        </w:rPr>
        <w:tab/>
      </w:r>
      <w:r w:rsidR="00213C7F" w:rsidRPr="00812B9F">
        <w:rPr>
          <w:rFonts w:ascii="Aptos" w:hAnsi="Aptos"/>
        </w:rPr>
        <w:t>Coyote Valley Dam Ad Hoc Committee</w:t>
      </w:r>
    </w:p>
    <w:p w14:paraId="00144D1B" w14:textId="2F59FFDD" w:rsidR="003B6EE2" w:rsidRPr="00812B9F" w:rsidRDefault="003B6EE2" w:rsidP="007C3405">
      <w:pPr>
        <w:suppressAutoHyphens w:val="0"/>
        <w:spacing w:after="160" w:line="276" w:lineRule="auto"/>
        <w:rPr>
          <w:rFonts w:ascii="Aptos" w:hAnsi="Aptos"/>
        </w:rPr>
      </w:pPr>
      <w:r w:rsidRPr="00812B9F">
        <w:rPr>
          <w:rFonts w:ascii="Aptos" w:hAnsi="Aptos"/>
        </w:rPr>
        <w:t>Date:</w:t>
      </w:r>
      <w:r w:rsidRPr="00812B9F">
        <w:rPr>
          <w:rFonts w:ascii="Aptos" w:hAnsi="Aptos"/>
        </w:rPr>
        <w:tab/>
      </w:r>
      <w:r w:rsidRPr="00812B9F">
        <w:rPr>
          <w:rFonts w:ascii="Aptos" w:hAnsi="Aptos"/>
        </w:rPr>
        <w:tab/>
      </w:r>
      <w:r w:rsidR="00B74BF2">
        <w:rPr>
          <w:rFonts w:ascii="Aptos" w:hAnsi="Aptos"/>
        </w:rPr>
        <w:t>August 13,</w:t>
      </w:r>
      <w:r w:rsidRPr="00812B9F">
        <w:rPr>
          <w:rFonts w:ascii="Aptos" w:hAnsi="Aptos"/>
        </w:rPr>
        <w:t xml:space="preserve"> 2026</w:t>
      </w:r>
    </w:p>
    <w:p w14:paraId="1B1109E9" w14:textId="05CDFC2B" w:rsidR="00213C7F" w:rsidRPr="00812B9F" w:rsidRDefault="003B6EE2" w:rsidP="007C3405">
      <w:pPr>
        <w:pBdr>
          <w:bottom w:val="double" w:sz="6" w:space="1" w:color="auto"/>
        </w:pBdr>
        <w:suppressAutoHyphens w:val="0"/>
        <w:spacing w:after="160" w:line="276" w:lineRule="auto"/>
        <w:rPr>
          <w:rFonts w:ascii="Aptos" w:hAnsi="Aptos"/>
        </w:rPr>
      </w:pPr>
      <w:r w:rsidRPr="00812B9F">
        <w:rPr>
          <w:rFonts w:ascii="Aptos" w:hAnsi="Aptos"/>
        </w:rPr>
        <w:t>Re:</w:t>
      </w:r>
      <w:r w:rsidRPr="00812B9F">
        <w:rPr>
          <w:rFonts w:ascii="Aptos" w:hAnsi="Aptos"/>
        </w:rPr>
        <w:tab/>
      </w:r>
      <w:r w:rsidRPr="00812B9F">
        <w:rPr>
          <w:rFonts w:ascii="Aptos" w:hAnsi="Aptos"/>
        </w:rPr>
        <w:tab/>
      </w:r>
      <w:r w:rsidR="00053B39" w:rsidRPr="00783850">
        <w:rPr>
          <w:rFonts w:ascii="Aptos" w:hAnsi="Aptos"/>
        </w:rPr>
        <w:t>Agenda Item #</w:t>
      </w:r>
      <w:r w:rsidR="00213C7F" w:rsidRPr="00783850">
        <w:rPr>
          <w:rFonts w:ascii="Aptos" w:hAnsi="Aptos"/>
        </w:rPr>
        <w:t>6a</w:t>
      </w:r>
      <w:r w:rsidR="00053B39" w:rsidRPr="00783850">
        <w:rPr>
          <w:rFonts w:ascii="Aptos" w:hAnsi="Aptos"/>
        </w:rPr>
        <w:t>:</w:t>
      </w:r>
      <w:r w:rsidR="00053B39" w:rsidRPr="00812B9F">
        <w:rPr>
          <w:rFonts w:ascii="Aptos" w:hAnsi="Aptos"/>
        </w:rPr>
        <w:t xml:space="preserve"> </w:t>
      </w:r>
      <w:r w:rsidR="00213C7F" w:rsidRPr="00812B9F">
        <w:rPr>
          <w:rFonts w:ascii="Aptos" w:hAnsi="Aptos"/>
        </w:rPr>
        <w:t xml:space="preserve">Update on the USACE Feasibility Study for Coyote Valley Dam—presentation from the Coyote Valley Dam Ad Hoc Committee </w:t>
      </w:r>
    </w:p>
    <w:p w14:paraId="6A164D7B" w14:textId="3061BAB0" w:rsidR="00213C7F" w:rsidRPr="00812B9F" w:rsidRDefault="00213C7F" w:rsidP="007C3405">
      <w:pPr>
        <w:spacing w:line="276" w:lineRule="auto"/>
        <w:rPr>
          <w:rFonts w:ascii="Aptos" w:hAnsi="Aptos"/>
          <w:b/>
          <w:bCs/>
        </w:rPr>
      </w:pPr>
      <w:r w:rsidRPr="00812B9F">
        <w:rPr>
          <w:rFonts w:ascii="Aptos" w:hAnsi="Aptos"/>
          <w:b/>
          <w:bCs/>
        </w:rPr>
        <w:t>Background</w:t>
      </w:r>
    </w:p>
    <w:p w14:paraId="17C5D48C" w14:textId="696DAB9B" w:rsidR="00213C7F" w:rsidRPr="00812B9F" w:rsidRDefault="00213C7F" w:rsidP="007C3405">
      <w:pPr>
        <w:spacing w:line="276" w:lineRule="auto"/>
        <w:rPr>
          <w:rFonts w:ascii="Aptos" w:hAnsi="Aptos"/>
        </w:rPr>
      </w:pPr>
      <w:r w:rsidRPr="00812B9F">
        <w:rPr>
          <w:rFonts w:ascii="Aptos" w:hAnsi="Aptos"/>
        </w:rPr>
        <w:t xml:space="preserve">The Coyote Valley Dam General Investigation (GI) Study was initiated in partnership with the Lytton Rancheria of California to evaluate alternatives to modernize and expand the storage capacity of Coyote Valley Dam. The Study was initiated in March 2025 and paused by the U.S. Army Corps of Engineers (USACE) on October 20, </w:t>
      </w:r>
      <w:r w:rsidR="00152D3B" w:rsidRPr="00812B9F">
        <w:rPr>
          <w:rFonts w:ascii="Aptos" w:hAnsi="Aptos"/>
        </w:rPr>
        <w:t>2025,</w:t>
      </w:r>
      <w:r w:rsidRPr="00812B9F">
        <w:rPr>
          <w:rFonts w:ascii="Aptos" w:hAnsi="Aptos"/>
        </w:rPr>
        <w:t xml:space="preserve"> due to a lack of federal funding. Funding was received in FY24 to initiate the study.  No funding was received in FY25 and neither the FY26 USACE General Investigations Work Plan nor the FY27 President’s Budget included funding to continue the Study.</w:t>
      </w:r>
    </w:p>
    <w:p w14:paraId="08FE0098" w14:textId="77777777" w:rsidR="00213C7F" w:rsidRPr="00812B9F" w:rsidRDefault="00213C7F" w:rsidP="007C3405">
      <w:pPr>
        <w:spacing w:line="276" w:lineRule="auto"/>
        <w:rPr>
          <w:rFonts w:ascii="Aptos" w:hAnsi="Aptos"/>
        </w:rPr>
      </w:pPr>
    </w:p>
    <w:p w14:paraId="32E6A15B" w14:textId="53C59A99" w:rsidR="00213C7F" w:rsidRDefault="00873677" w:rsidP="007C3405">
      <w:pPr>
        <w:spacing w:line="276" w:lineRule="auto"/>
        <w:rPr>
          <w:rFonts w:ascii="Aptos" w:hAnsi="Aptos"/>
        </w:rPr>
      </w:pPr>
      <w:r w:rsidRPr="00873677">
        <w:rPr>
          <w:rFonts w:ascii="Aptos" w:hAnsi="Aptos"/>
        </w:rPr>
        <w:t>At its June 2026 meeting, the Mendocino County Inland Water &amp; Power Commission</w:t>
      </w:r>
      <w:r>
        <w:rPr>
          <w:rFonts w:ascii="Aptos" w:hAnsi="Aptos"/>
        </w:rPr>
        <w:t xml:space="preserve"> (IWPC)</w:t>
      </w:r>
      <w:r w:rsidRPr="00873677">
        <w:rPr>
          <w:rFonts w:ascii="Aptos" w:hAnsi="Aptos"/>
        </w:rPr>
        <w:t xml:space="preserve"> received an overview of the Study’s status, the challenges associated with securing federal funding, and a proposed framework for evaluating alternative pathways. At its July 2026 meeting, the </w:t>
      </w:r>
      <w:r>
        <w:rPr>
          <w:rFonts w:ascii="Aptos" w:hAnsi="Aptos"/>
        </w:rPr>
        <w:t>IWPC</w:t>
      </w:r>
      <w:r w:rsidRPr="00873677">
        <w:rPr>
          <w:rFonts w:ascii="Aptos" w:hAnsi="Aptos"/>
        </w:rPr>
        <w:t xml:space="preserve"> reviewed four broad strategies, the alternatives developed under each strategy, the initial screening results, and the criteria that would be used to evaluate the five retained alternatives.</w:t>
      </w:r>
    </w:p>
    <w:p w14:paraId="1BBB264E" w14:textId="77777777" w:rsidR="00F82A29" w:rsidRDefault="00F82A29" w:rsidP="007C3405">
      <w:pPr>
        <w:spacing w:line="276" w:lineRule="auto"/>
        <w:rPr>
          <w:rFonts w:ascii="Aptos" w:hAnsi="Aptos"/>
        </w:rPr>
      </w:pPr>
    </w:p>
    <w:p w14:paraId="078EAA02" w14:textId="77777777" w:rsidR="00213C7F" w:rsidRDefault="00213C7F" w:rsidP="007C3405">
      <w:pPr>
        <w:spacing w:line="276" w:lineRule="auto"/>
        <w:rPr>
          <w:rFonts w:ascii="Aptos" w:hAnsi="Aptos"/>
          <w:b/>
          <w:bCs/>
        </w:rPr>
      </w:pPr>
      <w:r w:rsidRPr="00812B9F">
        <w:rPr>
          <w:rFonts w:ascii="Aptos" w:hAnsi="Aptos"/>
          <w:b/>
          <w:bCs/>
        </w:rPr>
        <w:t>Retained Alternatives</w:t>
      </w:r>
    </w:p>
    <w:p w14:paraId="701AF960" w14:textId="3665447A" w:rsidR="00DE1822" w:rsidRPr="003C5800" w:rsidRDefault="003C5800" w:rsidP="003C5800">
      <w:pPr>
        <w:spacing w:line="276" w:lineRule="auto"/>
        <w:rPr>
          <w:rFonts w:ascii="Aptos" w:hAnsi="Aptos"/>
        </w:rPr>
      </w:pPr>
      <w:r w:rsidRPr="003C5800">
        <w:rPr>
          <w:rFonts w:ascii="Aptos" w:hAnsi="Aptos"/>
        </w:rPr>
        <w:t xml:space="preserve">Following the initial screening process, five alternatives were retained for more detailed evaluation. The retained alternatives are intended to </w:t>
      </w:r>
      <w:r w:rsidR="00F44918">
        <w:rPr>
          <w:rFonts w:ascii="Aptos" w:hAnsi="Aptos"/>
        </w:rPr>
        <w:t>inform the study delivery strategy</w:t>
      </w:r>
      <w:r w:rsidRPr="003C5800">
        <w:rPr>
          <w:rFonts w:ascii="Aptos" w:hAnsi="Aptos"/>
        </w:rPr>
        <w:t xml:space="preserve"> by </w:t>
      </w:r>
      <w:r w:rsidR="00F44918">
        <w:rPr>
          <w:rFonts w:ascii="Aptos" w:hAnsi="Aptos"/>
        </w:rPr>
        <w:t xml:space="preserve">describing different potential </w:t>
      </w:r>
      <w:r w:rsidRPr="003C5800">
        <w:rPr>
          <w:rFonts w:ascii="Aptos" w:hAnsi="Aptos"/>
        </w:rPr>
        <w:t xml:space="preserve">courses of action, the conditions under which each may be viable, and the tradeoffs associated with pursuing them. The evaluation is not intended to immediately identify a single preferred </w:t>
      </w:r>
      <w:r w:rsidR="00F44918">
        <w:rPr>
          <w:rFonts w:ascii="Aptos" w:hAnsi="Aptos"/>
        </w:rPr>
        <w:t>strategy</w:t>
      </w:r>
      <w:r w:rsidRPr="003C5800">
        <w:rPr>
          <w:rFonts w:ascii="Aptos" w:hAnsi="Aptos"/>
        </w:rPr>
        <w:t xml:space="preserve"> or require IWPC to select one exclusive lane. Instead, </w:t>
      </w:r>
      <w:proofErr w:type="gramStart"/>
      <w:r w:rsidRPr="003C5800">
        <w:rPr>
          <w:rFonts w:ascii="Aptos" w:hAnsi="Aptos"/>
        </w:rPr>
        <w:t>the alternatives</w:t>
      </w:r>
      <w:proofErr w:type="gramEnd"/>
      <w:r w:rsidRPr="003C5800">
        <w:rPr>
          <w:rFonts w:ascii="Aptos" w:hAnsi="Aptos"/>
        </w:rPr>
        <w:t xml:space="preserve"> provide a structured way to </w:t>
      </w:r>
      <w:r w:rsidR="00F44918">
        <w:rPr>
          <w:rFonts w:ascii="Aptos" w:hAnsi="Aptos"/>
        </w:rPr>
        <w:t xml:space="preserve">assess and </w:t>
      </w:r>
      <w:r w:rsidRPr="003C5800">
        <w:rPr>
          <w:rFonts w:ascii="Aptos" w:hAnsi="Aptos"/>
        </w:rPr>
        <w:t xml:space="preserve">refine </w:t>
      </w:r>
      <w:r w:rsidR="00F44918">
        <w:rPr>
          <w:rFonts w:ascii="Aptos" w:hAnsi="Aptos"/>
        </w:rPr>
        <w:t xml:space="preserve">the study </w:t>
      </w:r>
      <w:r w:rsidR="00F44918">
        <w:rPr>
          <w:rFonts w:ascii="Aptos" w:hAnsi="Aptos"/>
        </w:rPr>
        <w:lastRenderedPageBreak/>
        <w:t>delivery strategy</w:t>
      </w:r>
      <w:r w:rsidRPr="003C5800">
        <w:rPr>
          <w:rFonts w:ascii="Aptos" w:hAnsi="Aptos"/>
        </w:rPr>
        <w:t xml:space="preserve"> </w:t>
      </w:r>
      <w:r w:rsidR="00F44918">
        <w:rPr>
          <w:rFonts w:ascii="Aptos" w:hAnsi="Aptos"/>
        </w:rPr>
        <w:t xml:space="preserve">while </w:t>
      </w:r>
      <w:r w:rsidRPr="003C5800">
        <w:rPr>
          <w:rFonts w:ascii="Aptos" w:hAnsi="Aptos"/>
        </w:rPr>
        <w:t>preserv</w:t>
      </w:r>
      <w:r w:rsidR="00F44918">
        <w:rPr>
          <w:rFonts w:ascii="Aptos" w:hAnsi="Aptos"/>
        </w:rPr>
        <w:t>ing</w:t>
      </w:r>
      <w:r w:rsidRPr="003C5800">
        <w:rPr>
          <w:rFonts w:ascii="Aptos" w:hAnsi="Aptos"/>
        </w:rPr>
        <w:t xml:space="preserve"> flexibility, respond</w:t>
      </w:r>
      <w:r w:rsidR="00F44918">
        <w:rPr>
          <w:rFonts w:ascii="Aptos" w:hAnsi="Aptos"/>
        </w:rPr>
        <w:t>ing</w:t>
      </w:r>
      <w:r w:rsidRPr="003C5800">
        <w:rPr>
          <w:rFonts w:ascii="Aptos" w:hAnsi="Aptos"/>
        </w:rPr>
        <w:t xml:space="preserve"> to changing federal funding and policy conditions, and allow</w:t>
      </w:r>
      <w:r w:rsidR="00F44918">
        <w:rPr>
          <w:rFonts w:ascii="Aptos" w:hAnsi="Aptos"/>
        </w:rPr>
        <w:t>ing</w:t>
      </w:r>
      <w:r w:rsidRPr="003C5800">
        <w:rPr>
          <w:rFonts w:ascii="Aptos" w:hAnsi="Aptos"/>
        </w:rPr>
        <w:t xml:space="preserve"> the </w:t>
      </w:r>
      <w:r w:rsidR="00F44918">
        <w:rPr>
          <w:rFonts w:ascii="Aptos" w:hAnsi="Aptos"/>
        </w:rPr>
        <w:t>study</w:t>
      </w:r>
      <w:r w:rsidRPr="003C5800">
        <w:rPr>
          <w:rFonts w:ascii="Aptos" w:hAnsi="Aptos"/>
        </w:rPr>
        <w:t xml:space="preserve"> to shift or combine approaches as additional information becomes available.</w:t>
      </w:r>
    </w:p>
    <w:tbl>
      <w:tblPr>
        <w:tblStyle w:val="PlainTable2"/>
        <w:tblpPr w:leftFromText="180" w:rightFromText="180" w:vertAnchor="text" w:horzAnchor="margin" w:tblpY="649"/>
        <w:tblW w:w="0" w:type="auto"/>
        <w:tblLook w:val="04A0" w:firstRow="1" w:lastRow="0" w:firstColumn="1" w:lastColumn="0" w:noHBand="0" w:noVBand="1"/>
      </w:tblPr>
      <w:tblGrid>
        <w:gridCol w:w="3006"/>
        <w:gridCol w:w="6354"/>
      </w:tblGrid>
      <w:tr w:rsidR="00DE1822" w:rsidRPr="00812B9F" w14:paraId="27608836" w14:textId="77777777" w:rsidTr="00DE1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14846A" w14:textId="77777777" w:rsidR="00DE1822" w:rsidRPr="00812B9F" w:rsidRDefault="00DE1822" w:rsidP="00DE1822">
            <w:pPr>
              <w:spacing w:after="160" w:line="276" w:lineRule="auto"/>
              <w:rPr>
                <w:rFonts w:ascii="Aptos" w:hAnsi="Aptos"/>
              </w:rPr>
            </w:pPr>
            <w:r w:rsidRPr="00812B9F">
              <w:rPr>
                <w:rFonts w:ascii="Aptos" w:hAnsi="Aptos"/>
              </w:rPr>
              <w:t>Strategy / Alternative</w:t>
            </w:r>
          </w:p>
        </w:tc>
        <w:tc>
          <w:tcPr>
            <w:tcW w:w="0" w:type="auto"/>
            <w:hideMark/>
          </w:tcPr>
          <w:p w14:paraId="3028C6D4" w14:textId="77777777" w:rsidR="00DE1822" w:rsidRPr="00812B9F" w:rsidRDefault="00DE1822" w:rsidP="00DE1822">
            <w:pPr>
              <w:spacing w:after="160" w:line="276" w:lineRule="auto"/>
              <w:cnfStyle w:val="100000000000" w:firstRow="1" w:lastRow="0" w:firstColumn="0" w:lastColumn="0" w:oddVBand="0" w:evenVBand="0" w:oddHBand="0" w:evenHBand="0" w:firstRowFirstColumn="0" w:firstRowLastColumn="0" w:lastRowFirstColumn="0" w:lastRowLastColumn="0"/>
              <w:rPr>
                <w:rFonts w:ascii="Aptos" w:hAnsi="Aptos"/>
              </w:rPr>
            </w:pPr>
            <w:r w:rsidRPr="00812B9F">
              <w:rPr>
                <w:rFonts w:ascii="Aptos" w:hAnsi="Aptos"/>
              </w:rPr>
              <w:t>Description</w:t>
            </w:r>
          </w:p>
        </w:tc>
      </w:tr>
      <w:tr w:rsidR="00DE1822" w:rsidRPr="00812B9F" w14:paraId="1920A74F" w14:textId="77777777" w:rsidTr="00DE1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564740" w14:textId="77777777" w:rsidR="00DE1822" w:rsidRPr="00812B9F" w:rsidRDefault="00DE1822" w:rsidP="00DE1822">
            <w:pPr>
              <w:spacing w:after="160" w:line="276" w:lineRule="auto"/>
              <w:rPr>
                <w:rFonts w:ascii="Aptos" w:hAnsi="Aptos"/>
              </w:rPr>
            </w:pPr>
            <w:r w:rsidRPr="00812B9F">
              <w:rPr>
                <w:rFonts w:ascii="Aptos" w:hAnsi="Aptos"/>
              </w:rPr>
              <w:t xml:space="preserve">Traditional Feasibility Study (50% Fed / 50% NF) </w:t>
            </w:r>
          </w:p>
        </w:tc>
        <w:tc>
          <w:tcPr>
            <w:tcW w:w="0" w:type="auto"/>
            <w:hideMark/>
          </w:tcPr>
          <w:p w14:paraId="31F82E9A" w14:textId="77777777" w:rsidR="00DE1822" w:rsidRPr="00812B9F" w:rsidRDefault="00DE1822" w:rsidP="00DE182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812B9F">
              <w:rPr>
                <w:rFonts w:ascii="Aptos" w:hAnsi="Aptos"/>
              </w:rPr>
              <w:t>Continue the traditional USACE feasibility study.</w:t>
            </w:r>
          </w:p>
        </w:tc>
      </w:tr>
      <w:tr w:rsidR="00DE1822" w:rsidRPr="00812B9F" w14:paraId="5973300E" w14:textId="77777777" w:rsidTr="00DE1822">
        <w:tc>
          <w:tcPr>
            <w:cnfStyle w:val="001000000000" w:firstRow="0" w:lastRow="0" w:firstColumn="1" w:lastColumn="0" w:oddVBand="0" w:evenVBand="0" w:oddHBand="0" w:evenHBand="0" w:firstRowFirstColumn="0" w:firstRowLastColumn="0" w:lastRowFirstColumn="0" w:lastRowLastColumn="0"/>
            <w:tcW w:w="0" w:type="auto"/>
            <w:hideMark/>
          </w:tcPr>
          <w:p w14:paraId="14BF419E" w14:textId="77777777" w:rsidR="00DE1822" w:rsidRPr="00812B9F" w:rsidRDefault="00DE1822" w:rsidP="00DE1822">
            <w:pPr>
              <w:spacing w:after="160" w:line="276" w:lineRule="auto"/>
              <w:rPr>
                <w:rFonts w:ascii="Aptos" w:hAnsi="Aptos"/>
              </w:rPr>
            </w:pPr>
            <w:r w:rsidRPr="00812B9F">
              <w:rPr>
                <w:rFonts w:ascii="Aptos" w:hAnsi="Aptos"/>
              </w:rPr>
              <w:t xml:space="preserve">Advanced Non-Federal Funding </w:t>
            </w:r>
          </w:p>
        </w:tc>
        <w:tc>
          <w:tcPr>
            <w:tcW w:w="0" w:type="auto"/>
            <w:hideMark/>
          </w:tcPr>
          <w:p w14:paraId="0844FB8E" w14:textId="77777777" w:rsidR="00DE1822" w:rsidRPr="00812B9F" w:rsidRDefault="00DE1822" w:rsidP="00DE1822">
            <w:pPr>
              <w:spacing w:after="160" w:line="276"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812B9F">
              <w:rPr>
                <w:rFonts w:ascii="Aptos" w:hAnsi="Aptos"/>
              </w:rPr>
              <w:t>Amend the cost-sharing agreement so non-federal partners advance additional funding to continue the feasibility study.</w:t>
            </w:r>
          </w:p>
        </w:tc>
      </w:tr>
      <w:tr w:rsidR="00DE1822" w:rsidRPr="00812B9F" w14:paraId="01529E23" w14:textId="77777777" w:rsidTr="00DE1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076F24" w14:textId="77777777" w:rsidR="00DE1822" w:rsidRPr="00812B9F" w:rsidRDefault="00DE1822" w:rsidP="00DE1822">
            <w:pPr>
              <w:spacing w:after="160" w:line="276" w:lineRule="auto"/>
              <w:rPr>
                <w:rFonts w:ascii="Aptos" w:hAnsi="Aptos"/>
              </w:rPr>
            </w:pPr>
            <w:r w:rsidRPr="00812B9F">
              <w:rPr>
                <w:rFonts w:ascii="Aptos" w:hAnsi="Aptos"/>
              </w:rPr>
              <w:t xml:space="preserve">Section 203 Study </w:t>
            </w:r>
          </w:p>
        </w:tc>
        <w:tc>
          <w:tcPr>
            <w:tcW w:w="0" w:type="auto"/>
            <w:hideMark/>
          </w:tcPr>
          <w:p w14:paraId="3F3F7AB1" w14:textId="77777777" w:rsidR="00DE1822" w:rsidRPr="00812B9F" w:rsidRDefault="00DE1822" w:rsidP="00DE182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812B9F">
              <w:rPr>
                <w:rFonts w:ascii="Aptos" w:hAnsi="Aptos"/>
              </w:rPr>
              <w:t>Non-federal team develops the feasibility study for federal review and approval, with potential pursuit of federal funds for technical support.</w:t>
            </w:r>
          </w:p>
        </w:tc>
      </w:tr>
      <w:tr w:rsidR="00DE1822" w:rsidRPr="00812B9F" w14:paraId="0B0B3BA2" w14:textId="77777777" w:rsidTr="00DE1822">
        <w:tc>
          <w:tcPr>
            <w:cnfStyle w:val="001000000000" w:firstRow="0" w:lastRow="0" w:firstColumn="1" w:lastColumn="0" w:oddVBand="0" w:evenVBand="0" w:oddHBand="0" w:evenHBand="0" w:firstRowFirstColumn="0" w:firstRowLastColumn="0" w:lastRowFirstColumn="0" w:lastRowLastColumn="0"/>
            <w:tcW w:w="0" w:type="auto"/>
            <w:hideMark/>
          </w:tcPr>
          <w:p w14:paraId="59896347" w14:textId="77777777" w:rsidR="00DE1822" w:rsidRPr="00812B9F" w:rsidRDefault="00DE1822" w:rsidP="00DE1822">
            <w:pPr>
              <w:spacing w:after="160" w:line="276" w:lineRule="auto"/>
              <w:rPr>
                <w:rFonts w:ascii="Aptos" w:hAnsi="Aptos"/>
              </w:rPr>
            </w:pPr>
            <w:r w:rsidRPr="00812B9F">
              <w:rPr>
                <w:rFonts w:ascii="Aptos" w:hAnsi="Aptos"/>
              </w:rPr>
              <w:t xml:space="preserve">Congressional Authorization for Construction </w:t>
            </w:r>
          </w:p>
        </w:tc>
        <w:tc>
          <w:tcPr>
            <w:tcW w:w="0" w:type="auto"/>
            <w:hideMark/>
          </w:tcPr>
          <w:p w14:paraId="06B28E56" w14:textId="77777777" w:rsidR="00DE1822" w:rsidRPr="00812B9F" w:rsidRDefault="00DE1822" w:rsidP="00DE1822">
            <w:pPr>
              <w:spacing w:after="160" w:line="276"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812B9F">
              <w:rPr>
                <w:rFonts w:ascii="Aptos" w:hAnsi="Aptos"/>
              </w:rPr>
              <w:t>Seek congressional authorization to construct the project based on the 1950 Chief’s Report recommendation.</w:t>
            </w:r>
          </w:p>
        </w:tc>
      </w:tr>
      <w:tr w:rsidR="00DE1822" w:rsidRPr="00812B9F" w14:paraId="544F338B" w14:textId="77777777" w:rsidTr="00DE1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FB66C8" w14:textId="77777777" w:rsidR="00DE1822" w:rsidRPr="00812B9F" w:rsidRDefault="00DE1822" w:rsidP="00DE1822">
            <w:pPr>
              <w:spacing w:after="160" w:line="276" w:lineRule="auto"/>
              <w:rPr>
                <w:rFonts w:ascii="Aptos" w:hAnsi="Aptos"/>
              </w:rPr>
            </w:pPr>
            <w:r w:rsidRPr="00812B9F">
              <w:rPr>
                <w:rFonts w:ascii="Aptos" w:hAnsi="Aptos"/>
              </w:rPr>
              <w:t xml:space="preserve">Transfer Lake Mendocino </w:t>
            </w:r>
          </w:p>
        </w:tc>
        <w:tc>
          <w:tcPr>
            <w:tcW w:w="0" w:type="auto"/>
            <w:hideMark/>
          </w:tcPr>
          <w:p w14:paraId="6FA2D195" w14:textId="77777777" w:rsidR="00DE1822" w:rsidRPr="00812B9F" w:rsidRDefault="00DE1822" w:rsidP="00DE1822">
            <w:pPr>
              <w:spacing w:after="160" w:line="276" w:lineRule="auto"/>
              <w:cnfStyle w:val="000000100000" w:firstRow="0" w:lastRow="0" w:firstColumn="0" w:lastColumn="0" w:oddVBand="0" w:evenVBand="0" w:oddHBand="1" w:evenHBand="0" w:firstRowFirstColumn="0" w:firstRowLastColumn="0" w:lastRowFirstColumn="0" w:lastRowLastColumn="0"/>
              <w:rPr>
                <w:rFonts w:ascii="Aptos" w:hAnsi="Aptos"/>
              </w:rPr>
            </w:pPr>
            <w:r w:rsidRPr="00812B9F">
              <w:rPr>
                <w:rFonts w:ascii="Aptos" w:hAnsi="Aptos"/>
              </w:rPr>
              <w:t>Transfer long-term operations and liabilities to non-federal interests for non-federally led modernization.</w:t>
            </w:r>
          </w:p>
        </w:tc>
      </w:tr>
    </w:tbl>
    <w:p w14:paraId="063AB5E7" w14:textId="77777777" w:rsidR="00DE1822" w:rsidRDefault="00DE1822" w:rsidP="003C5800">
      <w:pPr>
        <w:spacing w:line="276" w:lineRule="auto"/>
        <w:rPr>
          <w:rFonts w:ascii="Aptos" w:hAnsi="Aptos"/>
        </w:rPr>
      </w:pPr>
    </w:p>
    <w:p w14:paraId="7FD61E03" w14:textId="77777777" w:rsidR="00DE1822" w:rsidRPr="00812B9F" w:rsidRDefault="00DE1822" w:rsidP="00DE1822">
      <w:pPr>
        <w:spacing w:line="276" w:lineRule="auto"/>
        <w:rPr>
          <w:rFonts w:ascii="Aptos" w:hAnsi="Aptos"/>
          <w:b/>
          <w:bCs/>
        </w:rPr>
      </w:pPr>
      <w:r w:rsidRPr="00812B9F">
        <w:rPr>
          <w:rFonts w:ascii="Aptos" w:hAnsi="Aptos"/>
          <w:b/>
          <w:bCs/>
        </w:rPr>
        <w:t xml:space="preserve">Table </w:t>
      </w:r>
      <w:r>
        <w:rPr>
          <w:rFonts w:ascii="Aptos" w:hAnsi="Aptos"/>
          <w:b/>
          <w:bCs/>
        </w:rPr>
        <w:t>1</w:t>
      </w:r>
      <w:r w:rsidRPr="00812B9F">
        <w:rPr>
          <w:rFonts w:ascii="Aptos" w:hAnsi="Aptos"/>
          <w:b/>
          <w:bCs/>
        </w:rPr>
        <w:t>: Retained Alternatives</w:t>
      </w:r>
    </w:p>
    <w:p w14:paraId="4506F98B" w14:textId="416D79B8" w:rsidR="00DE1822" w:rsidRDefault="00DE1822" w:rsidP="003C5800">
      <w:pPr>
        <w:spacing w:line="276" w:lineRule="auto"/>
        <w:rPr>
          <w:rFonts w:ascii="Aptos" w:hAnsi="Aptos"/>
        </w:rPr>
      </w:pPr>
    </w:p>
    <w:p w14:paraId="2811759E" w14:textId="7BA21DBC" w:rsidR="00374316" w:rsidRPr="00812B9F" w:rsidRDefault="003C5800" w:rsidP="007C3405">
      <w:pPr>
        <w:spacing w:line="276" w:lineRule="auto"/>
        <w:rPr>
          <w:rFonts w:ascii="Aptos" w:hAnsi="Aptos"/>
        </w:rPr>
      </w:pPr>
      <w:r w:rsidRPr="003C5800">
        <w:rPr>
          <w:rFonts w:ascii="Aptos" w:hAnsi="Aptos"/>
        </w:rPr>
        <w:t>Some of these alternatives may function as sequential, parallel, or complementary actions rather than mutually exclusive choices. For example, work toward a Section 203 study could proceed while IWPC continues monitoring federal appropriations and evaluating whether the traditional feasibility study can be resumed. Similarly, congressional authorization could be explored in parallel to determine whether it offers a viable opportunity to accelerate project advancement.</w:t>
      </w:r>
      <w:r w:rsidR="00987FAE">
        <w:rPr>
          <w:rFonts w:ascii="Aptos" w:hAnsi="Aptos"/>
        </w:rPr>
        <w:t xml:space="preserve"> </w:t>
      </w:r>
      <w:r w:rsidRPr="003C5800">
        <w:rPr>
          <w:rFonts w:ascii="Aptos" w:hAnsi="Aptos"/>
        </w:rPr>
        <w:t>The purpose of retaining and evaluating these alternatives is therefore to help IWPC identify a practical and adaptable course of action, understand key decision points, and determine which steps can be advanced now without unnecessarily foreclosing future options.</w:t>
      </w:r>
    </w:p>
    <w:p w14:paraId="3D846379" w14:textId="77777777" w:rsidR="00213C7F" w:rsidRPr="00812B9F" w:rsidRDefault="00213C7F" w:rsidP="007C3405">
      <w:pPr>
        <w:spacing w:line="276" w:lineRule="auto"/>
        <w:rPr>
          <w:rFonts w:ascii="Aptos" w:hAnsi="Aptos"/>
        </w:rPr>
      </w:pPr>
    </w:p>
    <w:p w14:paraId="41BA5B21" w14:textId="787AA198" w:rsidR="00213C7F" w:rsidRPr="00812B9F" w:rsidRDefault="00213C7F" w:rsidP="007C3405">
      <w:pPr>
        <w:spacing w:line="276" w:lineRule="auto"/>
        <w:rPr>
          <w:rFonts w:ascii="Aptos" w:hAnsi="Aptos"/>
          <w:b/>
          <w:bCs/>
        </w:rPr>
      </w:pPr>
      <w:r w:rsidRPr="00812B9F">
        <w:rPr>
          <w:rFonts w:ascii="Aptos" w:hAnsi="Aptos"/>
          <w:b/>
          <w:bCs/>
        </w:rPr>
        <w:t>Evaluation Framework</w:t>
      </w:r>
    </w:p>
    <w:p w14:paraId="152552C6" w14:textId="22AFF0B7" w:rsidR="001A4DF7" w:rsidRPr="00FD61D9" w:rsidRDefault="001A4DF7" w:rsidP="007C3405">
      <w:pPr>
        <w:spacing w:after="160" w:line="276" w:lineRule="auto"/>
        <w:rPr>
          <w:rFonts w:ascii="Aptos" w:hAnsi="Aptos"/>
        </w:rPr>
      </w:pPr>
      <w:r w:rsidRPr="00FD61D9">
        <w:rPr>
          <w:rFonts w:ascii="Aptos" w:hAnsi="Aptos"/>
        </w:rPr>
        <w:t xml:space="preserve">The retained alternatives were evaluated using a Multi-Criteria Decision Analysis </w:t>
      </w:r>
      <w:r w:rsidR="00FD61D9">
        <w:rPr>
          <w:rFonts w:ascii="Aptos" w:hAnsi="Aptos"/>
        </w:rPr>
        <w:t xml:space="preserve">(MCDA) </w:t>
      </w:r>
      <w:r w:rsidRPr="00FD61D9">
        <w:rPr>
          <w:rFonts w:ascii="Aptos" w:hAnsi="Aptos"/>
        </w:rPr>
        <w:t>framework. MCDA provides a structured method for comparing alternatives that perform differently across several objectives and for which no single criterion is sufficient to determine the preferred path.</w:t>
      </w:r>
      <w:r w:rsidR="00FE76CE">
        <w:rPr>
          <w:rFonts w:ascii="Aptos" w:hAnsi="Aptos"/>
        </w:rPr>
        <w:t xml:space="preserve"> </w:t>
      </w:r>
      <w:r w:rsidRPr="00FD61D9">
        <w:rPr>
          <w:rFonts w:ascii="Aptos" w:hAnsi="Aptos"/>
        </w:rPr>
        <w:t>The evaluation objectives reflected IWPC’s long-term priorities:</w:t>
      </w:r>
    </w:p>
    <w:p w14:paraId="53E527D5" w14:textId="036CA6D9" w:rsidR="001A4DF7" w:rsidRPr="00FE76CE" w:rsidRDefault="001A4DF7" w:rsidP="007C3405">
      <w:pPr>
        <w:pStyle w:val="ListParagraph"/>
        <w:numPr>
          <w:ilvl w:val="0"/>
          <w:numId w:val="19"/>
        </w:numPr>
        <w:spacing w:after="160" w:line="276" w:lineRule="auto"/>
        <w:rPr>
          <w:rFonts w:ascii="Aptos" w:hAnsi="Aptos"/>
        </w:rPr>
      </w:pPr>
      <w:r w:rsidRPr="00FE76CE">
        <w:rPr>
          <w:rFonts w:ascii="Aptos" w:hAnsi="Aptos"/>
        </w:rPr>
        <w:lastRenderedPageBreak/>
        <w:t>Secure a sustainable water supply;</w:t>
      </w:r>
    </w:p>
    <w:p w14:paraId="1935EF2C" w14:textId="32298352" w:rsidR="001A4DF7" w:rsidRPr="00FE76CE" w:rsidRDefault="001A4DF7" w:rsidP="007C3405">
      <w:pPr>
        <w:pStyle w:val="ListParagraph"/>
        <w:numPr>
          <w:ilvl w:val="0"/>
          <w:numId w:val="19"/>
        </w:numPr>
        <w:spacing w:after="160" w:line="276" w:lineRule="auto"/>
        <w:rPr>
          <w:rFonts w:ascii="Aptos" w:hAnsi="Aptos"/>
        </w:rPr>
      </w:pPr>
      <w:r w:rsidRPr="00FE76CE">
        <w:rPr>
          <w:rFonts w:ascii="Aptos" w:hAnsi="Aptos"/>
        </w:rPr>
        <w:t>Synchronize increased water storage availability with anticipated New Eel-Russian Facility deliveries;</w:t>
      </w:r>
    </w:p>
    <w:p w14:paraId="452527D3" w14:textId="1D571915" w:rsidR="001A4DF7" w:rsidRPr="00FE76CE" w:rsidRDefault="001A4DF7" w:rsidP="007C3405">
      <w:pPr>
        <w:pStyle w:val="ListParagraph"/>
        <w:numPr>
          <w:ilvl w:val="0"/>
          <w:numId w:val="19"/>
        </w:numPr>
        <w:spacing w:after="160" w:line="276" w:lineRule="auto"/>
        <w:rPr>
          <w:rFonts w:ascii="Aptos" w:hAnsi="Aptos"/>
        </w:rPr>
      </w:pPr>
      <w:r w:rsidRPr="00FE76CE">
        <w:rPr>
          <w:rFonts w:ascii="Aptos" w:hAnsi="Aptos"/>
        </w:rPr>
        <w:t>Deliver a successful and durable project; and</w:t>
      </w:r>
    </w:p>
    <w:p w14:paraId="3D75B660" w14:textId="5836CDA2" w:rsidR="001A4DF7" w:rsidRPr="00FE76CE" w:rsidRDefault="001A4DF7" w:rsidP="007C3405">
      <w:pPr>
        <w:pStyle w:val="ListParagraph"/>
        <w:numPr>
          <w:ilvl w:val="0"/>
          <w:numId w:val="19"/>
        </w:numPr>
        <w:spacing w:after="160" w:line="276" w:lineRule="auto"/>
        <w:rPr>
          <w:rFonts w:ascii="Aptos" w:hAnsi="Aptos"/>
        </w:rPr>
      </w:pPr>
      <w:r w:rsidRPr="00FE76CE">
        <w:rPr>
          <w:rFonts w:ascii="Aptos" w:hAnsi="Aptos"/>
        </w:rPr>
        <w:t>Maximize federal and state cost-sharing opportunities.</w:t>
      </w:r>
    </w:p>
    <w:p w14:paraId="67E249DA" w14:textId="77777777" w:rsidR="001A4DF7" w:rsidRPr="00FD61D9" w:rsidRDefault="001A4DF7" w:rsidP="007C3405">
      <w:pPr>
        <w:spacing w:after="160" w:line="276" w:lineRule="auto"/>
        <w:rPr>
          <w:rFonts w:ascii="Aptos" w:hAnsi="Aptos"/>
        </w:rPr>
      </w:pPr>
      <w:r w:rsidRPr="00FD61D9">
        <w:rPr>
          <w:rFonts w:ascii="Aptos" w:hAnsi="Aptos"/>
        </w:rPr>
        <w:t>The supporting criteria considered potential storage benefits, operational flexibility, schedule coordination, schedule certainty, implementation challenges, acceptability, local study costs, local implementation costs, and the probability of obtaining outside funding.</w:t>
      </w:r>
    </w:p>
    <w:p w14:paraId="6F382D40" w14:textId="11C64BB8" w:rsidR="001A4DF7" w:rsidRDefault="001A4DF7" w:rsidP="00987FAE">
      <w:pPr>
        <w:spacing w:line="276" w:lineRule="auto"/>
        <w:rPr>
          <w:rFonts w:ascii="Aptos" w:hAnsi="Aptos"/>
        </w:rPr>
      </w:pPr>
      <w:r w:rsidRPr="00FD61D9">
        <w:rPr>
          <w:rFonts w:ascii="Aptos" w:hAnsi="Aptos"/>
        </w:rPr>
        <w:t xml:space="preserve">Each criterion was evaluated independently using a common scoring scale. Criteria related to costs and implementation challenges were scored </w:t>
      </w:r>
      <w:r w:rsidR="00FE76CE">
        <w:rPr>
          <w:rFonts w:ascii="Aptos" w:hAnsi="Aptos"/>
        </w:rPr>
        <w:t>negatively</w:t>
      </w:r>
      <w:r w:rsidRPr="00FD61D9">
        <w:rPr>
          <w:rFonts w:ascii="Aptos" w:hAnsi="Aptos"/>
        </w:rPr>
        <w:t xml:space="preserve"> so that alternatives with lower local costs or fewer implementation challenges received higher scores. The results were intended to support transparent comparison and discussion rather than produce a single definitive answer.</w:t>
      </w:r>
    </w:p>
    <w:p w14:paraId="7EA92DC4" w14:textId="77777777" w:rsidR="00987FAE" w:rsidRPr="00FD61D9" w:rsidRDefault="00987FAE" w:rsidP="00987FAE">
      <w:pPr>
        <w:spacing w:line="276" w:lineRule="auto"/>
        <w:rPr>
          <w:rFonts w:ascii="Aptos" w:hAnsi="Aptos"/>
        </w:rPr>
      </w:pPr>
    </w:p>
    <w:p w14:paraId="30552848" w14:textId="2C10376C" w:rsidR="007C3405" w:rsidRPr="001F298A" w:rsidRDefault="00EE002E" w:rsidP="007C3405">
      <w:pPr>
        <w:spacing w:line="276" w:lineRule="auto"/>
        <w:rPr>
          <w:rFonts w:ascii="Aptos" w:hAnsi="Aptos"/>
          <w:b/>
          <w:bCs/>
        </w:rPr>
      </w:pPr>
      <w:r w:rsidRPr="001F298A">
        <w:rPr>
          <w:rFonts w:ascii="Aptos" w:hAnsi="Aptos"/>
          <w:b/>
          <w:bCs/>
        </w:rPr>
        <w:t>Evaluation Results</w:t>
      </w:r>
    </w:p>
    <w:p w14:paraId="6FE1641B" w14:textId="77777777" w:rsidR="002605B1" w:rsidRDefault="002605B1" w:rsidP="007C3405">
      <w:pPr>
        <w:spacing w:line="276" w:lineRule="auto"/>
        <w:rPr>
          <w:rFonts w:ascii="Aptos" w:hAnsi="Aptos"/>
        </w:rPr>
      </w:pPr>
      <w:r w:rsidRPr="002605B1">
        <w:rPr>
          <w:rFonts w:ascii="Aptos" w:hAnsi="Aptos"/>
        </w:rPr>
        <w:t>The Section 203 Study ranked highest in the MCDA evaluation. Its primary strengths include greater non-federal control over the study schedule and work products, less dependence on annual federal appropriations, and greater flexibility to coordinate the study with regional water supply planning. Its principal challenges include the need to secure substantial non-federal funding and the limited precedent for using Section 203 to evaluate a modification to a federally owned and operated dam.</w:t>
      </w:r>
    </w:p>
    <w:p w14:paraId="0839DDE3" w14:textId="77777777" w:rsidR="002605B1" w:rsidRPr="002605B1" w:rsidRDefault="002605B1" w:rsidP="007C3405">
      <w:pPr>
        <w:spacing w:line="276" w:lineRule="auto"/>
        <w:rPr>
          <w:rFonts w:ascii="Aptos" w:hAnsi="Aptos"/>
        </w:rPr>
      </w:pPr>
    </w:p>
    <w:p w14:paraId="509EBE2F" w14:textId="1B2EE2DA" w:rsidR="002605B1" w:rsidRDefault="002605B1" w:rsidP="007C3405">
      <w:pPr>
        <w:spacing w:line="276" w:lineRule="auto"/>
        <w:rPr>
          <w:rFonts w:ascii="Aptos" w:hAnsi="Aptos"/>
        </w:rPr>
      </w:pPr>
      <w:r w:rsidRPr="002605B1">
        <w:rPr>
          <w:rFonts w:ascii="Aptos" w:hAnsi="Aptos"/>
        </w:rPr>
        <w:t>The traditional USACE feasibility study could reduce the local funding burden if additional federal funding becomes available. However, its feasibility depends on both future appropriations and resolution of current USACE study constraints. In particular, the existing requirement to complete feasibility studies within three years of initiation may substantially limit the ability to successfully complete the paused Study unless an extension or other policy accommodation is approved.</w:t>
      </w:r>
      <w:r>
        <w:rPr>
          <w:rFonts w:ascii="Aptos" w:hAnsi="Aptos"/>
        </w:rPr>
        <w:t xml:space="preserve"> </w:t>
      </w:r>
      <w:r w:rsidRPr="002605B1">
        <w:rPr>
          <w:rFonts w:ascii="Aptos" w:hAnsi="Aptos"/>
        </w:rPr>
        <w:t xml:space="preserve">Advanced non-federal funding could help address delays caused by annual federal appropriations. However, advancing additional non-federal funds would not resolve the existing schedule constraint or other policy issues affecting the current Study. </w:t>
      </w:r>
    </w:p>
    <w:p w14:paraId="4DFC5095" w14:textId="77777777" w:rsidR="002605B1" w:rsidRPr="002605B1" w:rsidRDefault="002605B1" w:rsidP="007C3405">
      <w:pPr>
        <w:spacing w:line="276" w:lineRule="auto"/>
        <w:rPr>
          <w:rFonts w:ascii="Aptos" w:hAnsi="Aptos"/>
        </w:rPr>
      </w:pPr>
    </w:p>
    <w:p w14:paraId="74F2F387" w14:textId="77777777" w:rsidR="002605B1" w:rsidRDefault="002605B1" w:rsidP="007C3405">
      <w:pPr>
        <w:spacing w:line="276" w:lineRule="auto"/>
        <w:rPr>
          <w:rFonts w:ascii="Aptos" w:hAnsi="Aptos"/>
        </w:rPr>
      </w:pPr>
      <w:r w:rsidRPr="002605B1">
        <w:rPr>
          <w:rFonts w:ascii="Aptos" w:hAnsi="Aptos"/>
        </w:rPr>
        <w:t xml:space="preserve">Congressional authorization for construction could potentially accelerate advancement of the project by relying on the recommendation contained in the 1950 Chief of Engineers Report. However, significant uncertainty remains regarding whether Congress and USACE would accept the prior recommendation as a sufficient basis for advancing design or </w:t>
      </w:r>
      <w:r w:rsidRPr="002605B1">
        <w:rPr>
          <w:rFonts w:ascii="Aptos" w:hAnsi="Aptos"/>
        </w:rPr>
        <w:lastRenderedPageBreak/>
        <w:t>construction, what additional technical analysis would be required, and how future design and construction would be funded.</w:t>
      </w:r>
    </w:p>
    <w:p w14:paraId="643F08D4" w14:textId="77777777" w:rsidR="002605B1" w:rsidRPr="002605B1" w:rsidRDefault="002605B1" w:rsidP="007C3405">
      <w:pPr>
        <w:spacing w:line="276" w:lineRule="auto"/>
        <w:rPr>
          <w:rFonts w:ascii="Aptos" w:hAnsi="Aptos"/>
        </w:rPr>
      </w:pPr>
    </w:p>
    <w:p w14:paraId="6A2BCFE0" w14:textId="277575CF" w:rsidR="00213C7F" w:rsidRDefault="002605B1" w:rsidP="007C3405">
      <w:pPr>
        <w:spacing w:line="276" w:lineRule="auto"/>
        <w:rPr>
          <w:rFonts w:ascii="Aptos" w:hAnsi="Aptos"/>
        </w:rPr>
      </w:pPr>
      <w:r w:rsidRPr="002605B1">
        <w:rPr>
          <w:rFonts w:ascii="Aptos" w:hAnsi="Aptos"/>
        </w:rPr>
        <w:t>Transfer of Lake Mendocino would provide the greatest degree of non-federal control but ranked lowest due to the substantial operational liabilities, governance requirements, organizational capacity, and long-term financial commitments that would be assumed by non-federal interests. Transfer is therefore not recommended as a near-term focus, although it could remain a potential long-term or fallback option if other pathways prove unavailable.</w:t>
      </w:r>
    </w:p>
    <w:p w14:paraId="5E814E07" w14:textId="77777777" w:rsidR="003A72AD" w:rsidRDefault="003A72AD" w:rsidP="007C3405">
      <w:pPr>
        <w:spacing w:line="276" w:lineRule="auto"/>
        <w:rPr>
          <w:rFonts w:ascii="Aptos" w:hAnsi="Aptos"/>
        </w:rPr>
      </w:pPr>
    </w:p>
    <w:p w14:paraId="35C467E7" w14:textId="642BD383" w:rsidR="00CB29AB" w:rsidRDefault="003A72AD" w:rsidP="007C3405">
      <w:pPr>
        <w:spacing w:line="276" w:lineRule="auto"/>
        <w:rPr>
          <w:rFonts w:ascii="Aptos" w:hAnsi="Aptos"/>
          <w:b/>
          <w:bCs/>
        </w:rPr>
      </w:pPr>
      <w:r w:rsidRPr="003A72AD">
        <w:rPr>
          <w:rFonts w:ascii="Aptos" w:hAnsi="Aptos"/>
          <w:b/>
          <w:bCs/>
        </w:rPr>
        <w:t>Need for Additional Federal Policy Direction</w:t>
      </w:r>
    </w:p>
    <w:p w14:paraId="0961235F" w14:textId="18D62000" w:rsidR="00CB29AB" w:rsidRPr="007A78D1" w:rsidRDefault="003C7DE9" w:rsidP="007C3405">
      <w:pPr>
        <w:spacing w:line="276" w:lineRule="auto"/>
        <w:rPr>
          <w:rFonts w:ascii="Aptos" w:hAnsi="Aptos"/>
        </w:rPr>
      </w:pPr>
      <w:r>
        <w:rPr>
          <w:rFonts w:ascii="Aptos" w:hAnsi="Aptos"/>
        </w:rPr>
        <w:t>S</w:t>
      </w:r>
      <w:r w:rsidR="00CB29AB" w:rsidRPr="00CB29AB">
        <w:rPr>
          <w:rFonts w:ascii="Aptos" w:hAnsi="Aptos"/>
        </w:rPr>
        <w:t>everal unresolved federal policy questions could significantly affect the feasibility, cost, schedule, and risks of the retained alternatives. These questions include whether the paused traditional feasibility study can receive relief from the three-year completion requirement</w:t>
      </w:r>
      <w:r w:rsidR="0060269A">
        <w:rPr>
          <w:rFonts w:ascii="Aptos" w:hAnsi="Aptos"/>
        </w:rPr>
        <w:t xml:space="preserve"> or $3 million study cost</w:t>
      </w:r>
      <w:r w:rsidR="00CB29AB" w:rsidRPr="00CB29AB">
        <w:rPr>
          <w:rFonts w:ascii="Aptos" w:hAnsi="Aptos"/>
        </w:rPr>
        <w:t>,</w:t>
      </w:r>
      <w:r w:rsidR="005B3CB0">
        <w:rPr>
          <w:rFonts w:ascii="Aptos" w:hAnsi="Aptos"/>
        </w:rPr>
        <w:t xml:space="preserve"> w</w:t>
      </w:r>
      <w:r w:rsidR="005B3CB0" w:rsidRPr="005B3CB0">
        <w:rPr>
          <w:rFonts w:ascii="Aptos" w:hAnsi="Aptos"/>
        </w:rPr>
        <w:t>hat level of federal review and participation would be required during development of a Section 203 study</w:t>
      </w:r>
      <w:r w:rsidR="005B3CB0">
        <w:rPr>
          <w:rFonts w:ascii="Aptos" w:hAnsi="Aptos"/>
        </w:rPr>
        <w:t>,</w:t>
      </w:r>
      <w:r w:rsidR="00CB29AB" w:rsidRPr="00CB29AB">
        <w:rPr>
          <w:rFonts w:ascii="Aptos" w:hAnsi="Aptos"/>
        </w:rPr>
        <w:t xml:space="preserve"> whether the 1950 Chief of Engineers Report could support new congressional authorization, and which decisions could be made durable across administrations. Because the answers could materially change the evaluation results, the Ad Hoc Committee does not recommend selecting a single preferred alternative at this time.</w:t>
      </w:r>
    </w:p>
    <w:p w14:paraId="27E67242" w14:textId="77777777" w:rsidR="003A72AD" w:rsidRDefault="003A72AD" w:rsidP="007C3405">
      <w:pPr>
        <w:spacing w:line="276" w:lineRule="auto"/>
        <w:rPr>
          <w:rFonts w:ascii="Aptos" w:hAnsi="Aptos"/>
          <w:b/>
          <w:bCs/>
        </w:rPr>
      </w:pPr>
    </w:p>
    <w:p w14:paraId="5CD0DF3D" w14:textId="1D0AB1F3" w:rsidR="00A52C5A" w:rsidRPr="007A78D1" w:rsidRDefault="00767668" w:rsidP="007C3405">
      <w:pPr>
        <w:spacing w:line="276" w:lineRule="auto"/>
        <w:rPr>
          <w:rFonts w:ascii="Aptos" w:hAnsi="Aptos"/>
          <w:b/>
          <w:bCs/>
        </w:rPr>
      </w:pPr>
      <w:r w:rsidRPr="00A52C5A">
        <w:rPr>
          <w:rFonts w:ascii="Aptos" w:hAnsi="Aptos"/>
          <w:b/>
          <w:bCs/>
        </w:rPr>
        <w:t>Need for a Federal Lobbyist</w:t>
      </w:r>
    </w:p>
    <w:p w14:paraId="14A04B39" w14:textId="726D3E90" w:rsidR="00767668" w:rsidRPr="00A52C5A" w:rsidRDefault="00767668" w:rsidP="007C3405">
      <w:pPr>
        <w:spacing w:after="160" w:line="276" w:lineRule="auto"/>
      </w:pPr>
      <w:r w:rsidRPr="009D78E3">
        <w:rPr>
          <w:rFonts w:ascii="Aptos" w:hAnsi="Aptos"/>
        </w:rPr>
        <w:t>Resolving the outstanding policy questions will require recurring and coordinated engagement with the Assistant Secretary of the Army for Civil Works, USACE Headquarters, the Office of Management and Budget, congressional committees, and other federal decision-makers.</w:t>
      </w:r>
      <w:r w:rsidR="00E55C90" w:rsidRPr="00E55C90">
        <w:t xml:space="preserve"> </w:t>
      </w:r>
      <w:r w:rsidR="00E55C90" w:rsidRPr="00E55C90">
        <w:rPr>
          <w:rFonts w:ascii="Aptos" w:hAnsi="Aptos"/>
        </w:rPr>
        <w:t>Federal water resource projects typically extend across multiple administrations and congressional sessions. The selected firm should therefore have bipartisan relationships, experience with USACE civil works programs, and the ability to support both executive branch and congressional engagement.</w:t>
      </w:r>
    </w:p>
    <w:p w14:paraId="6472796F" w14:textId="3CF7AA45" w:rsidR="00767668" w:rsidRPr="009D78E3" w:rsidRDefault="00767668" w:rsidP="007C3405">
      <w:pPr>
        <w:spacing w:after="160" w:line="276" w:lineRule="auto"/>
        <w:rPr>
          <w:rFonts w:ascii="Aptos" w:hAnsi="Aptos"/>
        </w:rPr>
      </w:pPr>
      <w:r w:rsidRPr="009D78E3">
        <w:rPr>
          <w:rFonts w:ascii="Aptos" w:hAnsi="Aptos"/>
        </w:rPr>
        <w:t>The proposed federal lobbyist would not be retained solely to pursue appropriations or general congressional advocacy. The initial scope would focus on helping IWPC obtain access to federal decision-makers</w:t>
      </w:r>
      <w:r w:rsidR="00F44918">
        <w:rPr>
          <w:rFonts w:ascii="Aptos" w:hAnsi="Aptos"/>
        </w:rPr>
        <w:t xml:space="preserve"> within the Administration</w:t>
      </w:r>
      <w:r w:rsidRPr="009D78E3">
        <w:rPr>
          <w:rFonts w:ascii="Aptos" w:hAnsi="Aptos"/>
        </w:rPr>
        <w:t>, clarify how each viable pathway would be treated, support follow-up communications, and assist the project team in documenting federal direction.</w:t>
      </w:r>
    </w:p>
    <w:p w14:paraId="33EC8BB2" w14:textId="77777777" w:rsidR="00B01449" w:rsidRPr="00B01449" w:rsidRDefault="00B01449" w:rsidP="007C3405">
      <w:pPr>
        <w:spacing w:after="160" w:line="276" w:lineRule="auto"/>
        <w:rPr>
          <w:rFonts w:ascii="Aptos" w:hAnsi="Aptos"/>
        </w:rPr>
      </w:pPr>
      <w:r w:rsidRPr="00B01449">
        <w:rPr>
          <w:rFonts w:ascii="Aptos" w:hAnsi="Aptos"/>
        </w:rPr>
        <w:t>The Ad Hoc Committee recommends the following selection process:</w:t>
      </w:r>
    </w:p>
    <w:p w14:paraId="39CC4299" w14:textId="6C23AACA" w:rsidR="007945D7" w:rsidRDefault="00476200" w:rsidP="00476200">
      <w:pPr>
        <w:numPr>
          <w:ilvl w:val="0"/>
          <w:numId w:val="21"/>
        </w:numPr>
        <w:spacing w:after="160" w:line="276" w:lineRule="auto"/>
        <w:rPr>
          <w:rFonts w:ascii="Aptos" w:hAnsi="Aptos"/>
        </w:rPr>
      </w:pPr>
      <w:r w:rsidRPr="00476200">
        <w:rPr>
          <w:rFonts w:ascii="Aptos" w:hAnsi="Aptos"/>
        </w:rPr>
        <w:t>Ad Hoc Committee evaluates a focused list of known qualified federal lobbyists</w:t>
      </w:r>
    </w:p>
    <w:p w14:paraId="4E0931B3" w14:textId="07003B5C" w:rsidR="00476200" w:rsidRPr="00476200" w:rsidRDefault="00476200" w:rsidP="007945D7">
      <w:pPr>
        <w:numPr>
          <w:ilvl w:val="1"/>
          <w:numId w:val="21"/>
        </w:numPr>
        <w:spacing w:after="160" w:line="276" w:lineRule="auto"/>
        <w:rPr>
          <w:rFonts w:ascii="Aptos" w:hAnsi="Aptos"/>
        </w:rPr>
      </w:pPr>
      <w:r w:rsidRPr="00476200">
        <w:rPr>
          <w:rFonts w:ascii="Aptos" w:hAnsi="Aptos"/>
        </w:rPr>
        <w:lastRenderedPageBreak/>
        <w:t xml:space="preserve">Selection emphasizes USACE </w:t>
      </w:r>
      <w:r w:rsidR="00F44918">
        <w:rPr>
          <w:rFonts w:ascii="Aptos" w:hAnsi="Aptos"/>
        </w:rPr>
        <w:t xml:space="preserve">Civil Works Program </w:t>
      </w:r>
      <w:r w:rsidRPr="00476200">
        <w:rPr>
          <w:rFonts w:ascii="Aptos" w:hAnsi="Aptos"/>
        </w:rPr>
        <w:t>expertise, engagement with federal decision-makers, bipartisan relationships, lack of potential conflicts, and approach</w:t>
      </w:r>
    </w:p>
    <w:p w14:paraId="539D0ED8" w14:textId="6600BAA9" w:rsidR="007945D7" w:rsidRDefault="00476200" w:rsidP="007945D7">
      <w:pPr>
        <w:numPr>
          <w:ilvl w:val="0"/>
          <w:numId w:val="21"/>
        </w:numPr>
        <w:spacing w:after="160" w:line="276" w:lineRule="auto"/>
        <w:rPr>
          <w:rFonts w:ascii="Aptos" w:hAnsi="Aptos"/>
        </w:rPr>
      </w:pPr>
      <w:r w:rsidRPr="00476200">
        <w:rPr>
          <w:rFonts w:ascii="Aptos" w:hAnsi="Aptos"/>
        </w:rPr>
        <w:t xml:space="preserve">Ad Hoc Committee conducts interviews of top candidates </w:t>
      </w:r>
    </w:p>
    <w:p w14:paraId="7238CA79" w14:textId="77777777" w:rsidR="007945D7" w:rsidRDefault="00476200" w:rsidP="007945D7">
      <w:pPr>
        <w:numPr>
          <w:ilvl w:val="0"/>
          <w:numId w:val="21"/>
        </w:numPr>
        <w:spacing w:after="160" w:line="276" w:lineRule="auto"/>
        <w:rPr>
          <w:rFonts w:ascii="Aptos" w:hAnsi="Aptos"/>
        </w:rPr>
      </w:pPr>
      <w:r w:rsidRPr="007945D7">
        <w:rPr>
          <w:rFonts w:ascii="Aptos" w:hAnsi="Aptos"/>
        </w:rPr>
        <w:t>Ad Hoc Committee negotiates a proposed scope and fee with the preferred firm</w:t>
      </w:r>
    </w:p>
    <w:p w14:paraId="51C48448" w14:textId="3D256D8C" w:rsidR="00476200" w:rsidRPr="007945D7" w:rsidRDefault="008A1C25" w:rsidP="007945D7">
      <w:pPr>
        <w:numPr>
          <w:ilvl w:val="0"/>
          <w:numId w:val="21"/>
        </w:numPr>
        <w:spacing w:after="160" w:line="276" w:lineRule="auto"/>
        <w:rPr>
          <w:rFonts w:ascii="Aptos" w:hAnsi="Aptos"/>
        </w:rPr>
      </w:pPr>
      <w:r>
        <w:rPr>
          <w:rFonts w:ascii="Aptos" w:hAnsi="Aptos"/>
        </w:rPr>
        <w:t>IWPC</w:t>
      </w:r>
      <w:r w:rsidR="00476200" w:rsidRPr="007945D7">
        <w:rPr>
          <w:rFonts w:ascii="Aptos" w:hAnsi="Aptos"/>
        </w:rPr>
        <w:t xml:space="preserve"> reviews and approves the recommended firm and contract</w:t>
      </w:r>
    </w:p>
    <w:p w14:paraId="6B1D3671" w14:textId="5B3C6104" w:rsidR="00C954D1" w:rsidRDefault="00B01449" w:rsidP="007C7A6A">
      <w:pPr>
        <w:spacing w:line="276" w:lineRule="auto"/>
        <w:rPr>
          <w:rFonts w:ascii="Aptos" w:hAnsi="Aptos"/>
        </w:rPr>
      </w:pPr>
      <w:r w:rsidRPr="00B01449">
        <w:rPr>
          <w:rFonts w:ascii="Aptos" w:hAnsi="Aptos"/>
        </w:rPr>
        <w:t xml:space="preserve">This process would allow the Ad Hoc Committee to efficiently evaluate candidates while ensuring that the full </w:t>
      </w:r>
      <w:r w:rsidR="008A1C25">
        <w:rPr>
          <w:rFonts w:ascii="Aptos" w:hAnsi="Aptos"/>
        </w:rPr>
        <w:t>IWPC</w:t>
      </w:r>
      <w:r w:rsidRPr="00B01449">
        <w:rPr>
          <w:rFonts w:ascii="Aptos" w:hAnsi="Aptos"/>
        </w:rPr>
        <w:t xml:space="preserve"> approves the final consultant selection and contract.</w:t>
      </w:r>
    </w:p>
    <w:p w14:paraId="50C5F5B3" w14:textId="77777777" w:rsidR="007C7A6A" w:rsidRPr="00812B9F" w:rsidRDefault="007C7A6A" w:rsidP="007C7A6A">
      <w:pPr>
        <w:spacing w:line="276" w:lineRule="auto"/>
        <w:rPr>
          <w:rFonts w:ascii="Aptos" w:hAnsi="Aptos"/>
        </w:rPr>
      </w:pPr>
    </w:p>
    <w:p w14:paraId="74AA35CD" w14:textId="4863D8A1" w:rsidR="00820EDC" w:rsidRDefault="00213C7F" w:rsidP="007C7A6A">
      <w:pPr>
        <w:spacing w:line="276" w:lineRule="auto"/>
        <w:rPr>
          <w:rFonts w:ascii="Aptos" w:hAnsi="Aptos"/>
          <w:b/>
          <w:bCs/>
        </w:rPr>
      </w:pPr>
      <w:r w:rsidRPr="00812B9F">
        <w:rPr>
          <w:rFonts w:ascii="Aptos" w:hAnsi="Aptos"/>
          <w:b/>
          <w:bCs/>
        </w:rPr>
        <w:t>Next Steps</w:t>
      </w:r>
    </w:p>
    <w:p w14:paraId="084B103C" w14:textId="6B85DC23" w:rsidR="00213C7F" w:rsidRPr="00820EDC" w:rsidRDefault="00820EDC" w:rsidP="007C3405">
      <w:pPr>
        <w:spacing w:line="276" w:lineRule="auto"/>
        <w:rPr>
          <w:rFonts w:ascii="Aptos" w:hAnsi="Aptos"/>
        </w:rPr>
      </w:pPr>
      <w:r w:rsidRPr="00820EDC">
        <w:rPr>
          <w:rFonts w:ascii="Aptos" w:hAnsi="Aptos"/>
        </w:rPr>
        <w:t xml:space="preserve">At the September 2026 meeting, the Ad Hoc Committee will return to the </w:t>
      </w:r>
      <w:r>
        <w:rPr>
          <w:rFonts w:ascii="Aptos" w:hAnsi="Aptos"/>
        </w:rPr>
        <w:t xml:space="preserve">IWPC </w:t>
      </w:r>
      <w:r w:rsidRPr="00820EDC">
        <w:rPr>
          <w:rFonts w:ascii="Aptos" w:hAnsi="Aptos"/>
        </w:rPr>
        <w:t xml:space="preserve">with a recommended federal lobbyist for consideration and approval. Following selection of the lobbyist, the </w:t>
      </w:r>
      <w:r>
        <w:rPr>
          <w:rFonts w:ascii="Aptos" w:hAnsi="Aptos"/>
        </w:rPr>
        <w:t>IWPC</w:t>
      </w:r>
      <w:r w:rsidRPr="00820EDC">
        <w:rPr>
          <w:rFonts w:ascii="Aptos" w:hAnsi="Aptos"/>
        </w:rPr>
        <w:t xml:space="preserve"> will be briefed on the proposed next steps, including development of the lobbyist’s scope of support and identification of the outstanding federal policy questions, procedural concerns, and information needs associated with the remaining courses of action. This work will help focus federal engagement, clarify the viability of the remaining options, and support refinement of the project’s overall course of action.</w:t>
      </w:r>
    </w:p>
    <w:p w14:paraId="431D8A9D" w14:textId="77777777" w:rsidR="00820EDC" w:rsidRPr="00812B9F" w:rsidRDefault="00820EDC" w:rsidP="007C3405">
      <w:pPr>
        <w:spacing w:line="276" w:lineRule="auto"/>
        <w:rPr>
          <w:rFonts w:ascii="Aptos" w:hAnsi="Aptos"/>
        </w:rPr>
      </w:pPr>
    </w:p>
    <w:p w14:paraId="09CF59C2" w14:textId="77777777" w:rsidR="00213C7F" w:rsidRPr="00812B9F" w:rsidRDefault="00213C7F" w:rsidP="007C3405">
      <w:pPr>
        <w:spacing w:line="276" w:lineRule="auto"/>
        <w:rPr>
          <w:rFonts w:ascii="Aptos" w:hAnsi="Aptos"/>
          <w:b/>
          <w:bCs/>
        </w:rPr>
      </w:pPr>
      <w:r w:rsidRPr="00812B9F">
        <w:rPr>
          <w:rFonts w:ascii="Aptos" w:hAnsi="Aptos"/>
          <w:b/>
          <w:bCs/>
        </w:rPr>
        <w:t>Attachments</w:t>
      </w:r>
    </w:p>
    <w:p w14:paraId="317D48AC" w14:textId="77777777" w:rsidR="00213C7F" w:rsidRPr="00812B9F" w:rsidRDefault="00213C7F" w:rsidP="007C3405">
      <w:pPr>
        <w:spacing w:line="276" w:lineRule="auto"/>
        <w:rPr>
          <w:rFonts w:ascii="Aptos" w:hAnsi="Aptos"/>
          <w:b/>
          <w:bCs/>
        </w:rPr>
      </w:pPr>
    </w:p>
    <w:p w14:paraId="72B30C43" w14:textId="77777777" w:rsidR="00213C7F" w:rsidRPr="00812B9F" w:rsidRDefault="00213C7F" w:rsidP="007C3405">
      <w:pPr>
        <w:numPr>
          <w:ilvl w:val="0"/>
          <w:numId w:val="17"/>
        </w:numPr>
        <w:suppressAutoHyphens w:val="0"/>
        <w:spacing w:after="160" w:line="276" w:lineRule="auto"/>
        <w:rPr>
          <w:rFonts w:ascii="Aptos" w:hAnsi="Aptos"/>
        </w:rPr>
      </w:pPr>
      <w:r w:rsidRPr="00812B9F">
        <w:rPr>
          <w:rFonts w:ascii="Aptos" w:hAnsi="Aptos"/>
        </w:rPr>
        <w:t>Coyote Valley Dam General Investigation Study – Alternative Delivery Options Presentation</w:t>
      </w:r>
    </w:p>
    <w:p w14:paraId="2AA92719" w14:textId="364DAA85" w:rsidR="00C026F3" w:rsidRPr="00812B9F" w:rsidRDefault="00C026F3" w:rsidP="007C3405">
      <w:pPr>
        <w:pStyle w:val="Normal0"/>
        <w:spacing w:line="276" w:lineRule="auto"/>
        <w:rPr>
          <w:rFonts w:ascii="Aptos" w:hAnsi="Aptos"/>
        </w:rPr>
      </w:pPr>
    </w:p>
    <w:p w14:paraId="5C93923F" w14:textId="245E643D" w:rsidR="00C026F3" w:rsidRPr="00812B9F" w:rsidRDefault="00C026F3" w:rsidP="007C3405">
      <w:pPr>
        <w:pStyle w:val="Normal0"/>
        <w:spacing w:line="276" w:lineRule="auto"/>
        <w:rPr>
          <w:rFonts w:ascii="Aptos" w:hAnsi="Aptos"/>
        </w:rPr>
      </w:pPr>
    </w:p>
    <w:p w14:paraId="54383A79" w14:textId="77777777" w:rsidR="00C026F3" w:rsidRPr="00812B9F" w:rsidRDefault="00C026F3" w:rsidP="007C3405">
      <w:pPr>
        <w:pStyle w:val="Normal0"/>
        <w:spacing w:line="276" w:lineRule="auto"/>
        <w:rPr>
          <w:rFonts w:ascii="Aptos" w:hAnsi="Aptos"/>
        </w:rPr>
      </w:pPr>
    </w:p>
    <w:sectPr w:rsidR="00C026F3" w:rsidRPr="00812B9F" w:rsidSect="00AC55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1B80" w14:textId="77777777" w:rsidR="007F3376" w:rsidRDefault="007F3376" w:rsidP="00FC3907">
      <w:r>
        <w:separator/>
      </w:r>
    </w:p>
  </w:endnote>
  <w:endnote w:type="continuationSeparator" w:id="0">
    <w:p w14:paraId="04CBECCD" w14:textId="77777777" w:rsidR="007F3376" w:rsidRDefault="007F3376"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AFCA" w14:textId="77777777" w:rsidR="00F044CC" w:rsidRDefault="00F04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769044"/>
      <w:docPartObj>
        <w:docPartGallery w:val="Page Numbers (Bottom of Page)"/>
        <w:docPartUnique/>
      </w:docPartObj>
    </w:sdtPr>
    <w:sdtEndPr>
      <w:rPr>
        <w:noProof/>
      </w:rPr>
    </w:sdtEndPr>
    <w:sdtContent>
      <w:p w14:paraId="577368DD" w14:textId="55BBF9A0" w:rsidR="00F044CC" w:rsidRDefault="00F044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A2359" w14:textId="77777777" w:rsidR="00F044CC" w:rsidRDefault="00F04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3023" w14:textId="0D3DCCCA" w:rsidR="00515332" w:rsidRDefault="00515332">
    <w:pPr>
      <w:pStyle w:val="Footer"/>
    </w:pPr>
    <w:r w:rsidRPr="00515332">
      <w:rPr>
        <w:noProof/>
        <w:spacing w:val="-2"/>
        <w:sz w:val="12"/>
      </w:rPr>
      <w:t>5259469.1</w:t>
    </w:r>
    <w:r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06B7" w14:textId="77777777" w:rsidR="007F3376" w:rsidRDefault="007F3376" w:rsidP="00FC3907">
      <w:r>
        <w:separator/>
      </w:r>
    </w:p>
  </w:footnote>
  <w:footnote w:type="continuationSeparator" w:id="0">
    <w:p w14:paraId="539D9C94" w14:textId="77777777" w:rsidR="007F3376" w:rsidRDefault="007F3376"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17BB" w14:textId="77777777" w:rsidR="00F044CC" w:rsidRDefault="00F04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D2D1" w14:textId="0123A4B3" w:rsidR="00BE03B8" w:rsidRPr="006A0CFA" w:rsidRDefault="00BE03B8" w:rsidP="006A0CFA">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D109" w14:textId="77777777" w:rsidR="00F044CC" w:rsidRDefault="00F04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A882F4E"/>
    <w:multiLevelType w:val="multilevel"/>
    <w:tmpl w:val="EB6AD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C87578"/>
    <w:multiLevelType w:val="hybridMultilevel"/>
    <w:tmpl w:val="9DC0543E"/>
    <w:lvl w:ilvl="0" w:tplc="1FCA0664">
      <w:start w:val="1"/>
      <w:numFmt w:val="bullet"/>
      <w:lvlText w:val="•"/>
      <w:lvlJc w:val="left"/>
      <w:pPr>
        <w:tabs>
          <w:tab w:val="num" w:pos="720"/>
        </w:tabs>
        <w:ind w:left="720" w:hanging="360"/>
      </w:pPr>
      <w:rPr>
        <w:rFonts w:ascii="Arial" w:hAnsi="Arial" w:hint="default"/>
      </w:rPr>
    </w:lvl>
    <w:lvl w:ilvl="1" w:tplc="A072D3FC">
      <w:start w:val="1"/>
      <w:numFmt w:val="bullet"/>
      <w:lvlText w:val="•"/>
      <w:lvlJc w:val="left"/>
      <w:pPr>
        <w:tabs>
          <w:tab w:val="num" w:pos="1440"/>
        </w:tabs>
        <w:ind w:left="1440" w:hanging="360"/>
      </w:pPr>
      <w:rPr>
        <w:rFonts w:ascii="Arial" w:hAnsi="Arial" w:hint="default"/>
      </w:rPr>
    </w:lvl>
    <w:lvl w:ilvl="2" w:tplc="06D8E0D2" w:tentative="1">
      <w:start w:val="1"/>
      <w:numFmt w:val="bullet"/>
      <w:lvlText w:val="•"/>
      <w:lvlJc w:val="left"/>
      <w:pPr>
        <w:tabs>
          <w:tab w:val="num" w:pos="2160"/>
        </w:tabs>
        <w:ind w:left="2160" w:hanging="360"/>
      </w:pPr>
      <w:rPr>
        <w:rFonts w:ascii="Arial" w:hAnsi="Arial" w:hint="default"/>
      </w:rPr>
    </w:lvl>
    <w:lvl w:ilvl="3" w:tplc="7CAC51B4" w:tentative="1">
      <w:start w:val="1"/>
      <w:numFmt w:val="bullet"/>
      <w:lvlText w:val="•"/>
      <w:lvlJc w:val="left"/>
      <w:pPr>
        <w:tabs>
          <w:tab w:val="num" w:pos="2880"/>
        </w:tabs>
        <w:ind w:left="2880" w:hanging="360"/>
      </w:pPr>
      <w:rPr>
        <w:rFonts w:ascii="Arial" w:hAnsi="Arial" w:hint="default"/>
      </w:rPr>
    </w:lvl>
    <w:lvl w:ilvl="4" w:tplc="DB4697B6" w:tentative="1">
      <w:start w:val="1"/>
      <w:numFmt w:val="bullet"/>
      <w:lvlText w:val="•"/>
      <w:lvlJc w:val="left"/>
      <w:pPr>
        <w:tabs>
          <w:tab w:val="num" w:pos="3600"/>
        </w:tabs>
        <w:ind w:left="3600" w:hanging="360"/>
      </w:pPr>
      <w:rPr>
        <w:rFonts w:ascii="Arial" w:hAnsi="Arial" w:hint="default"/>
      </w:rPr>
    </w:lvl>
    <w:lvl w:ilvl="5" w:tplc="8EB418F6" w:tentative="1">
      <w:start w:val="1"/>
      <w:numFmt w:val="bullet"/>
      <w:lvlText w:val="•"/>
      <w:lvlJc w:val="left"/>
      <w:pPr>
        <w:tabs>
          <w:tab w:val="num" w:pos="4320"/>
        </w:tabs>
        <w:ind w:left="4320" w:hanging="360"/>
      </w:pPr>
      <w:rPr>
        <w:rFonts w:ascii="Arial" w:hAnsi="Arial" w:hint="default"/>
      </w:rPr>
    </w:lvl>
    <w:lvl w:ilvl="6" w:tplc="EF3ED222" w:tentative="1">
      <w:start w:val="1"/>
      <w:numFmt w:val="bullet"/>
      <w:lvlText w:val="•"/>
      <w:lvlJc w:val="left"/>
      <w:pPr>
        <w:tabs>
          <w:tab w:val="num" w:pos="5040"/>
        </w:tabs>
        <w:ind w:left="5040" w:hanging="360"/>
      </w:pPr>
      <w:rPr>
        <w:rFonts w:ascii="Arial" w:hAnsi="Arial" w:hint="default"/>
      </w:rPr>
    </w:lvl>
    <w:lvl w:ilvl="7" w:tplc="E0220198" w:tentative="1">
      <w:start w:val="1"/>
      <w:numFmt w:val="bullet"/>
      <w:lvlText w:val="•"/>
      <w:lvlJc w:val="left"/>
      <w:pPr>
        <w:tabs>
          <w:tab w:val="num" w:pos="5760"/>
        </w:tabs>
        <w:ind w:left="5760" w:hanging="360"/>
      </w:pPr>
      <w:rPr>
        <w:rFonts w:ascii="Arial" w:hAnsi="Arial" w:hint="default"/>
      </w:rPr>
    </w:lvl>
    <w:lvl w:ilvl="8" w:tplc="92BE00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B67DD5"/>
    <w:multiLevelType w:val="hybridMultilevel"/>
    <w:tmpl w:val="6A08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004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BE0E60"/>
    <w:multiLevelType w:val="multilevel"/>
    <w:tmpl w:val="4D2A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CD5853"/>
    <w:multiLevelType w:val="hybridMultilevel"/>
    <w:tmpl w:val="54582292"/>
    <w:lvl w:ilvl="0" w:tplc="EC064D20">
      <w:numFmt w:val="bullet"/>
      <w:lvlText w:val="•"/>
      <w:lvlJc w:val="left"/>
      <w:pPr>
        <w:ind w:left="720" w:hanging="360"/>
      </w:pPr>
      <w:rPr>
        <w:rFonts w:ascii="Aptos" w:eastAsiaTheme="minorHAnsi"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8B47E3"/>
    <w:multiLevelType w:val="multilevel"/>
    <w:tmpl w:val="0344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7181612">
    <w:abstractNumId w:val="9"/>
  </w:num>
  <w:num w:numId="2" w16cid:durableId="1488864961">
    <w:abstractNumId w:val="4"/>
  </w:num>
  <w:num w:numId="3" w16cid:durableId="317540488">
    <w:abstractNumId w:val="4"/>
  </w:num>
  <w:num w:numId="4" w16cid:durableId="193931638">
    <w:abstractNumId w:val="3"/>
  </w:num>
  <w:num w:numId="5" w16cid:durableId="1616325718">
    <w:abstractNumId w:val="3"/>
  </w:num>
  <w:num w:numId="6" w16cid:durableId="2086297292">
    <w:abstractNumId w:val="2"/>
  </w:num>
  <w:num w:numId="7" w16cid:durableId="1691880503">
    <w:abstractNumId w:val="2"/>
  </w:num>
  <w:num w:numId="8" w16cid:durableId="921181593">
    <w:abstractNumId w:val="1"/>
  </w:num>
  <w:num w:numId="9" w16cid:durableId="467864504">
    <w:abstractNumId w:val="1"/>
  </w:num>
  <w:num w:numId="10" w16cid:durableId="1996176405">
    <w:abstractNumId w:val="0"/>
  </w:num>
  <w:num w:numId="11" w16cid:durableId="1333265054">
    <w:abstractNumId w:val="0"/>
  </w:num>
  <w:num w:numId="12" w16cid:durableId="902721031">
    <w:abstractNumId w:val="3"/>
  </w:num>
  <w:num w:numId="13" w16cid:durableId="1012730245">
    <w:abstractNumId w:val="3"/>
  </w:num>
  <w:num w:numId="14" w16cid:durableId="1245797093">
    <w:abstractNumId w:val="3"/>
  </w:num>
  <w:num w:numId="15" w16cid:durableId="372315031">
    <w:abstractNumId w:val="8"/>
  </w:num>
  <w:num w:numId="16" w16cid:durableId="289286609">
    <w:abstractNumId w:val="10"/>
  </w:num>
  <w:num w:numId="17" w16cid:durableId="811754904">
    <w:abstractNumId w:val="12"/>
  </w:num>
  <w:num w:numId="18" w16cid:durableId="228351093">
    <w:abstractNumId w:val="7"/>
  </w:num>
  <w:num w:numId="19" w16cid:durableId="1705254302">
    <w:abstractNumId w:val="11"/>
  </w:num>
  <w:num w:numId="20" w16cid:durableId="1600406545">
    <w:abstractNumId w:val="5"/>
  </w:num>
  <w:num w:numId="21" w16cid:durableId="1320158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56D4"/>
    <w:rsid w:val="000577C7"/>
    <w:rsid w:val="00082EED"/>
    <w:rsid w:val="00083481"/>
    <w:rsid w:val="0009359C"/>
    <w:rsid w:val="00095F9B"/>
    <w:rsid w:val="00096B9C"/>
    <w:rsid w:val="000A132A"/>
    <w:rsid w:val="000B092A"/>
    <w:rsid w:val="000F261A"/>
    <w:rsid w:val="000F30CA"/>
    <w:rsid w:val="000F710F"/>
    <w:rsid w:val="000F7910"/>
    <w:rsid w:val="00123136"/>
    <w:rsid w:val="00123496"/>
    <w:rsid w:val="00137065"/>
    <w:rsid w:val="001479B1"/>
    <w:rsid w:val="00151EC6"/>
    <w:rsid w:val="00152D3B"/>
    <w:rsid w:val="00156EA7"/>
    <w:rsid w:val="00174788"/>
    <w:rsid w:val="0018025F"/>
    <w:rsid w:val="001A4DF7"/>
    <w:rsid w:val="001C3978"/>
    <w:rsid w:val="001F298A"/>
    <w:rsid w:val="0020733D"/>
    <w:rsid w:val="00211FB6"/>
    <w:rsid w:val="0021369D"/>
    <w:rsid w:val="00213C7F"/>
    <w:rsid w:val="00237150"/>
    <w:rsid w:val="00245DB9"/>
    <w:rsid w:val="00246025"/>
    <w:rsid w:val="00251483"/>
    <w:rsid w:val="002605B1"/>
    <w:rsid w:val="00273797"/>
    <w:rsid w:val="00280B93"/>
    <w:rsid w:val="00282D21"/>
    <w:rsid w:val="00284A5E"/>
    <w:rsid w:val="002A7657"/>
    <w:rsid w:val="002B3833"/>
    <w:rsid w:val="002D6031"/>
    <w:rsid w:val="002E5C22"/>
    <w:rsid w:val="002F7C67"/>
    <w:rsid w:val="003037BC"/>
    <w:rsid w:val="00305489"/>
    <w:rsid w:val="00306B03"/>
    <w:rsid w:val="003233D7"/>
    <w:rsid w:val="003234E0"/>
    <w:rsid w:val="0032555E"/>
    <w:rsid w:val="0032707C"/>
    <w:rsid w:val="00363573"/>
    <w:rsid w:val="00363AE7"/>
    <w:rsid w:val="00367B06"/>
    <w:rsid w:val="00374316"/>
    <w:rsid w:val="003804C0"/>
    <w:rsid w:val="00385E10"/>
    <w:rsid w:val="003915B0"/>
    <w:rsid w:val="003A72AD"/>
    <w:rsid w:val="003B6EE2"/>
    <w:rsid w:val="003C1376"/>
    <w:rsid w:val="003C2E71"/>
    <w:rsid w:val="003C5800"/>
    <w:rsid w:val="003C7DE9"/>
    <w:rsid w:val="003E6E0C"/>
    <w:rsid w:val="003F7B66"/>
    <w:rsid w:val="0041060F"/>
    <w:rsid w:val="00415660"/>
    <w:rsid w:val="00415A69"/>
    <w:rsid w:val="004347FA"/>
    <w:rsid w:val="00443C38"/>
    <w:rsid w:val="00455739"/>
    <w:rsid w:val="00466333"/>
    <w:rsid w:val="00472B26"/>
    <w:rsid w:val="00476200"/>
    <w:rsid w:val="00490A75"/>
    <w:rsid w:val="004A7D37"/>
    <w:rsid w:val="004C1EE4"/>
    <w:rsid w:val="004E3292"/>
    <w:rsid w:val="004E3582"/>
    <w:rsid w:val="004F53EB"/>
    <w:rsid w:val="004F67E6"/>
    <w:rsid w:val="005130E3"/>
    <w:rsid w:val="00515332"/>
    <w:rsid w:val="0052005A"/>
    <w:rsid w:val="00531A0A"/>
    <w:rsid w:val="005342BD"/>
    <w:rsid w:val="00536354"/>
    <w:rsid w:val="00557E6B"/>
    <w:rsid w:val="005614BB"/>
    <w:rsid w:val="00573A5C"/>
    <w:rsid w:val="00593979"/>
    <w:rsid w:val="005A0A48"/>
    <w:rsid w:val="005A2157"/>
    <w:rsid w:val="005A6BFA"/>
    <w:rsid w:val="005B3CB0"/>
    <w:rsid w:val="005C1564"/>
    <w:rsid w:val="005D3BA5"/>
    <w:rsid w:val="005E06B3"/>
    <w:rsid w:val="005E3F0A"/>
    <w:rsid w:val="005F01CB"/>
    <w:rsid w:val="005F3316"/>
    <w:rsid w:val="0060269A"/>
    <w:rsid w:val="0060463A"/>
    <w:rsid w:val="0061672C"/>
    <w:rsid w:val="00621D2B"/>
    <w:rsid w:val="00645006"/>
    <w:rsid w:val="00654576"/>
    <w:rsid w:val="00660AC5"/>
    <w:rsid w:val="00662E7C"/>
    <w:rsid w:val="006728D3"/>
    <w:rsid w:val="00685AAF"/>
    <w:rsid w:val="006919F2"/>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67668"/>
    <w:rsid w:val="00775851"/>
    <w:rsid w:val="00783850"/>
    <w:rsid w:val="00784DE2"/>
    <w:rsid w:val="007945D7"/>
    <w:rsid w:val="007A0E9B"/>
    <w:rsid w:val="007A7188"/>
    <w:rsid w:val="007A78D1"/>
    <w:rsid w:val="007A7F92"/>
    <w:rsid w:val="007C3405"/>
    <w:rsid w:val="007C7A6A"/>
    <w:rsid w:val="007D02D3"/>
    <w:rsid w:val="007E4701"/>
    <w:rsid w:val="007F3376"/>
    <w:rsid w:val="008073B2"/>
    <w:rsid w:val="00812B9F"/>
    <w:rsid w:val="008152CF"/>
    <w:rsid w:val="00815A7A"/>
    <w:rsid w:val="00817307"/>
    <w:rsid w:val="00820EDC"/>
    <w:rsid w:val="00830ED8"/>
    <w:rsid w:val="00835AD6"/>
    <w:rsid w:val="00850A44"/>
    <w:rsid w:val="0087099A"/>
    <w:rsid w:val="00870BED"/>
    <w:rsid w:val="00873677"/>
    <w:rsid w:val="008A0B96"/>
    <w:rsid w:val="008A156E"/>
    <w:rsid w:val="008A1C25"/>
    <w:rsid w:val="008A2D8F"/>
    <w:rsid w:val="008B0925"/>
    <w:rsid w:val="008B560E"/>
    <w:rsid w:val="008B6359"/>
    <w:rsid w:val="008B730B"/>
    <w:rsid w:val="008D663E"/>
    <w:rsid w:val="008E1CAE"/>
    <w:rsid w:val="008F0CE2"/>
    <w:rsid w:val="00907FA5"/>
    <w:rsid w:val="00912BAC"/>
    <w:rsid w:val="00923DFB"/>
    <w:rsid w:val="009312B7"/>
    <w:rsid w:val="00940E79"/>
    <w:rsid w:val="00950264"/>
    <w:rsid w:val="009510E8"/>
    <w:rsid w:val="0095534A"/>
    <w:rsid w:val="009775E1"/>
    <w:rsid w:val="009816CA"/>
    <w:rsid w:val="00982B4E"/>
    <w:rsid w:val="009854C4"/>
    <w:rsid w:val="00987FAE"/>
    <w:rsid w:val="009A1C5C"/>
    <w:rsid w:val="009A42F6"/>
    <w:rsid w:val="009B1678"/>
    <w:rsid w:val="009C4D2A"/>
    <w:rsid w:val="009D427B"/>
    <w:rsid w:val="009D6C26"/>
    <w:rsid w:val="009D78E3"/>
    <w:rsid w:val="009F2011"/>
    <w:rsid w:val="009F4F41"/>
    <w:rsid w:val="009F694C"/>
    <w:rsid w:val="00A15242"/>
    <w:rsid w:val="00A15392"/>
    <w:rsid w:val="00A25F9A"/>
    <w:rsid w:val="00A268EF"/>
    <w:rsid w:val="00A52C5A"/>
    <w:rsid w:val="00A61DAA"/>
    <w:rsid w:val="00A677FF"/>
    <w:rsid w:val="00A7204A"/>
    <w:rsid w:val="00AA589D"/>
    <w:rsid w:val="00AB708D"/>
    <w:rsid w:val="00AC3EDD"/>
    <w:rsid w:val="00AC5141"/>
    <w:rsid w:val="00AC5517"/>
    <w:rsid w:val="00AC6B50"/>
    <w:rsid w:val="00AE622C"/>
    <w:rsid w:val="00B01449"/>
    <w:rsid w:val="00B24778"/>
    <w:rsid w:val="00B2713B"/>
    <w:rsid w:val="00B3442C"/>
    <w:rsid w:val="00B36427"/>
    <w:rsid w:val="00B44352"/>
    <w:rsid w:val="00B74BF2"/>
    <w:rsid w:val="00BB2371"/>
    <w:rsid w:val="00BC1F12"/>
    <w:rsid w:val="00BC6D2F"/>
    <w:rsid w:val="00BD65DF"/>
    <w:rsid w:val="00BE03B8"/>
    <w:rsid w:val="00BE44C8"/>
    <w:rsid w:val="00BE5ECB"/>
    <w:rsid w:val="00BF1386"/>
    <w:rsid w:val="00C026F3"/>
    <w:rsid w:val="00C04F63"/>
    <w:rsid w:val="00C20CE0"/>
    <w:rsid w:val="00C21664"/>
    <w:rsid w:val="00C25368"/>
    <w:rsid w:val="00C33AB4"/>
    <w:rsid w:val="00C42489"/>
    <w:rsid w:val="00C52B06"/>
    <w:rsid w:val="00C71516"/>
    <w:rsid w:val="00C82AB8"/>
    <w:rsid w:val="00C954D1"/>
    <w:rsid w:val="00CB18D4"/>
    <w:rsid w:val="00CB29AB"/>
    <w:rsid w:val="00CC11B1"/>
    <w:rsid w:val="00CC1BD8"/>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DE1822"/>
    <w:rsid w:val="00DF0D12"/>
    <w:rsid w:val="00E02A55"/>
    <w:rsid w:val="00E34F37"/>
    <w:rsid w:val="00E55C90"/>
    <w:rsid w:val="00E60543"/>
    <w:rsid w:val="00E67AB7"/>
    <w:rsid w:val="00E70BB8"/>
    <w:rsid w:val="00E727A4"/>
    <w:rsid w:val="00E81F69"/>
    <w:rsid w:val="00E908E7"/>
    <w:rsid w:val="00E9130E"/>
    <w:rsid w:val="00E93287"/>
    <w:rsid w:val="00EA05AE"/>
    <w:rsid w:val="00EA18D7"/>
    <w:rsid w:val="00EE002E"/>
    <w:rsid w:val="00EE1E94"/>
    <w:rsid w:val="00EE49D0"/>
    <w:rsid w:val="00F044CC"/>
    <w:rsid w:val="00F166D4"/>
    <w:rsid w:val="00F249A8"/>
    <w:rsid w:val="00F44918"/>
    <w:rsid w:val="00F45027"/>
    <w:rsid w:val="00F45D0D"/>
    <w:rsid w:val="00F774CC"/>
    <w:rsid w:val="00F80E45"/>
    <w:rsid w:val="00F82A29"/>
    <w:rsid w:val="00F91523"/>
    <w:rsid w:val="00F94BBC"/>
    <w:rsid w:val="00F95B5F"/>
    <w:rsid w:val="00FA1AD3"/>
    <w:rsid w:val="00FA481C"/>
    <w:rsid w:val="00FB3011"/>
    <w:rsid w:val="00FB3C3D"/>
    <w:rsid w:val="00FB52F8"/>
    <w:rsid w:val="00FC3907"/>
    <w:rsid w:val="00FD60A2"/>
    <w:rsid w:val="00FD61D9"/>
    <w:rsid w:val="00FE5FE5"/>
    <w:rsid w:val="00FE76CE"/>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customStyle="1" w:styleId="HeaderChar">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customStyle="1" w:styleId="FooterChar">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 w:type="table" w:styleId="PlainTable2">
    <w:name w:val="Plain Table 2"/>
    <w:basedOn w:val="TableNormal"/>
    <w:uiPriority w:val="42"/>
    <w:rsid w:val="00213C7F"/>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E76CE"/>
    <w:pPr>
      <w:ind w:left="720"/>
      <w:contextualSpacing/>
    </w:pPr>
  </w:style>
  <w:style w:type="paragraph" w:styleId="Revision">
    <w:name w:val="Revision"/>
    <w:hidden/>
    <w:uiPriority w:val="99"/>
    <w:semiHidden/>
    <w:rsid w:val="00F44918"/>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PC@mendoiwpc.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7026-E477-4DA4-96C0-2262438C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Nagy</dc:creator>
  <cp:lastModifiedBy>Candace Horsley</cp:lastModifiedBy>
  <cp:revision>2</cp:revision>
  <cp:lastPrinted>2026-08-10T17:25:00Z</cp:lastPrinted>
  <dcterms:created xsi:type="dcterms:W3CDTF">2026-08-10T17:27:00Z</dcterms:created>
  <dcterms:modified xsi:type="dcterms:W3CDTF">2026-08-10T17:27:00Z</dcterms:modified>
</cp:coreProperties>
</file>