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F44D6" w14:textId="13FE098C" w:rsidR="003208C0" w:rsidRPr="003208C0" w:rsidRDefault="003208C0" w:rsidP="00A7377F">
      <w:pPr>
        <w:pStyle w:val="Date"/>
        <w:spacing w:line="360" w:lineRule="auto"/>
        <w:ind w:left="720"/>
      </w:pPr>
      <w:r>
        <w:t xml:space="preserve">To: </w:t>
      </w:r>
      <w:r>
        <w:tab/>
        <w:t>Mendocino County Inland Water and Power Commission Board of Directors</w:t>
      </w:r>
      <w:r>
        <w:br/>
        <w:t>Date:</w:t>
      </w:r>
      <w:r>
        <w:tab/>
        <w:t xml:space="preserve">March </w:t>
      </w:r>
      <w:r w:rsidR="000D5BA3">
        <w:t>9</w:t>
      </w:r>
      <w:r>
        <w:t>, 2026</w:t>
      </w:r>
      <w:r>
        <w:br/>
        <w:t>Re:</w:t>
      </w:r>
      <w:r>
        <w:tab/>
        <w:t>Status of Round Valley Indian Tribes’ Water Rights</w:t>
      </w:r>
    </w:p>
    <w:p w14:paraId="6E7422CB" w14:textId="48CC87D2" w:rsidR="000D5BA3" w:rsidRDefault="003208C0" w:rsidP="003208C0">
      <w:pPr>
        <w:pStyle w:val="Normal0"/>
      </w:pPr>
      <w:r>
        <w:t>You asked that I explain in writing the basis of my previous statement</w:t>
      </w:r>
      <w:r w:rsidR="000D5BA3">
        <w:t xml:space="preserve">: </w:t>
      </w:r>
    </w:p>
    <w:p w14:paraId="698366CB" w14:textId="77777777" w:rsidR="000D5BA3" w:rsidRDefault="000D5BA3" w:rsidP="003208C0">
      <w:pPr>
        <w:pStyle w:val="Normal0"/>
      </w:pPr>
    </w:p>
    <w:p w14:paraId="4AD6D587" w14:textId="42BDE3FB" w:rsidR="003208C0" w:rsidRDefault="000D5BA3" w:rsidP="000D5BA3">
      <w:pPr>
        <w:pStyle w:val="Normal0"/>
        <w:ind w:left="720"/>
      </w:pPr>
      <w:r>
        <w:t>I</w:t>
      </w:r>
      <w:r w:rsidR="00873179">
        <w:t>f</w:t>
      </w:r>
      <w:r w:rsidR="003208C0">
        <w:t xml:space="preserve"> Mendocino County Inland Water and Power Commission (the “Commission”) </w:t>
      </w:r>
      <w:r w:rsidR="00873179">
        <w:t xml:space="preserve">had </w:t>
      </w:r>
      <w:r w:rsidR="003208C0">
        <w:t xml:space="preserve">not executed the Water Diversion Agreement </w:t>
      </w:r>
      <w:r w:rsidR="006110A0">
        <w:t xml:space="preserve">locking in a chance to continue to divert Eel River water, </w:t>
      </w:r>
      <w:r w:rsidR="003208C0">
        <w:t>th</w:t>
      </w:r>
      <w:r>
        <w:t>en</w:t>
      </w:r>
      <w:r w:rsidR="003208C0">
        <w:t xml:space="preserve"> the Round Valley Indian Tribes (“</w:t>
      </w:r>
      <w:proofErr w:type="spellStart"/>
      <w:r w:rsidR="003208C0">
        <w:t>RVIT</w:t>
      </w:r>
      <w:proofErr w:type="spellEnd"/>
      <w:r w:rsidR="003208C0">
        <w:t>”) likely would have had water rights more senior than PG&amp;E’s</w:t>
      </w:r>
      <w:r w:rsidR="00873179">
        <w:t xml:space="preserve"> (and th</w:t>
      </w:r>
      <w:r w:rsidR="006110A0">
        <w:t>u</w:t>
      </w:r>
      <w:r w:rsidR="00873179">
        <w:t>s the Commissions)</w:t>
      </w:r>
      <w:r w:rsidR="003208C0">
        <w:t>, and th</w:t>
      </w:r>
      <w:r w:rsidR="00873179">
        <w:t>erefore</w:t>
      </w:r>
      <w:r w:rsidR="003208C0">
        <w:t xml:space="preserve"> we would have been at a </w:t>
      </w:r>
      <w:r w:rsidR="00873179">
        <w:t xml:space="preserve">legal </w:t>
      </w:r>
      <w:r w:rsidR="003208C0">
        <w:t>disadvantage.</w:t>
      </w:r>
    </w:p>
    <w:p w14:paraId="26BA808E" w14:textId="77777777" w:rsidR="003208C0" w:rsidRDefault="003208C0" w:rsidP="003208C0">
      <w:pPr>
        <w:pStyle w:val="Normal0"/>
      </w:pPr>
    </w:p>
    <w:p w14:paraId="562EF86E" w14:textId="484E36F3" w:rsidR="00D573C1" w:rsidRDefault="003208C0" w:rsidP="003208C0">
      <w:pPr>
        <w:pStyle w:val="Normal0"/>
      </w:pPr>
      <w:proofErr w:type="spellStart"/>
      <w:r>
        <w:t>RVIT</w:t>
      </w:r>
      <w:proofErr w:type="spellEnd"/>
      <w:r>
        <w:t xml:space="preserve"> is a federally recognized Tribal Nation located in Northern California. In 1856, the Secret</w:t>
      </w:r>
      <w:r w:rsidR="00D573C1">
        <w:t>ar</w:t>
      </w:r>
      <w:r>
        <w:t xml:space="preserve">y of the Interior set aside the Nome Cult Farm that comprised 25,030 acres as a reservation for several tribes, including those that comprise </w:t>
      </w:r>
      <w:proofErr w:type="spellStart"/>
      <w:r w:rsidR="006110A0">
        <w:t>RVIT</w:t>
      </w:r>
      <w:proofErr w:type="spellEnd"/>
      <w:r>
        <w:t>.</w:t>
      </w:r>
      <w:r w:rsidR="00BC7D39">
        <w:t xml:space="preserve"> </w:t>
      </w:r>
      <w:r>
        <w:t xml:space="preserve"> </w:t>
      </w:r>
      <w:r w:rsidR="006110A0">
        <w:t xml:space="preserve">In 1870, </w:t>
      </w:r>
      <w:r>
        <w:t>President Grant expanded the reservation to 31,683 acres and confo</w:t>
      </w:r>
      <w:r w:rsidR="00D573C1">
        <w:t>r</w:t>
      </w:r>
      <w:r>
        <w:t>med its designation as the Round Valley Indian Reservation.</w:t>
      </w:r>
      <w:r w:rsidR="00D573C1">
        <w:t xml:space="preserve"> </w:t>
      </w:r>
      <w:proofErr w:type="spellStart"/>
      <w:r w:rsidR="00BC7D39">
        <w:t>RVIT’s</w:t>
      </w:r>
      <w:proofErr w:type="spellEnd"/>
      <w:r w:rsidR="00BC7D39">
        <w:t xml:space="preserve"> federal reserved fishing rights likewise were secured by the creation of the reservation, including an act of Congress in 1873, which enlarged the reservation by 77,000 acres and set the boundaries of the reservation "extending from the Middle Fork of Eel River on the east to the Eel River on the west ... and the center of the Middle Fork river shall be the eastern boundary, and the center of the Eel shall be the western boundary of said reservation, with the privilege of fishing in said streams." Act of March 3, 1873 (17 Stat. 633). </w:t>
      </w:r>
    </w:p>
    <w:p w14:paraId="320DA4C1" w14:textId="77777777" w:rsidR="00D573C1" w:rsidRDefault="00D573C1" w:rsidP="003208C0">
      <w:pPr>
        <w:pStyle w:val="Normal0"/>
      </w:pPr>
    </w:p>
    <w:p w14:paraId="5D031ED6" w14:textId="72DFF009" w:rsidR="00D573C1" w:rsidRDefault="00D573C1" w:rsidP="003208C0">
      <w:pPr>
        <w:pStyle w:val="Normal0"/>
      </w:pPr>
      <w:r>
        <w:t xml:space="preserve">In </w:t>
      </w:r>
      <w:r w:rsidRPr="00D573C1">
        <w:rPr>
          <w:i/>
          <w:iCs/>
        </w:rPr>
        <w:t>Winters v. United States</w:t>
      </w:r>
      <w:r>
        <w:t>, 207 U.S. 564 (1908), the United States Supreme Court held that where the United States “reserves” land for a particular purpose, that reserv</w:t>
      </w:r>
      <w:r w:rsidR="006110A0">
        <w:t>ation</w:t>
      </w:r>
      <w:r>
        <w:t xml:space="preserve"> impliedly also “reserves” such water rights as are necessary to </w:t>
      </w:r>
      <w:r w:rsidR="006110A0">
        <w:t>fulfil</w:t>
      </w:r>
      <w:r>
        <w:t xml:space="preserve"> th</w:t>
      </w:r>
      <w:r w:rsidR="006110A0">
        <w:t>e</w:t>
      </w:r>
      <w:r>
        <w:t xml:space="preserve"> purpose</w:t>
      </w:r>
      <w:r w:rsidR="006110A0">
        <w:t xml:space="preserve"> of the reservation</w:t>
      </w:r>
      <w:r>
        <w:t xml:space="preserve">, and that this doctrine applies to reservations </w:t>
      </w:r>
      <w:r w:rsidR="006110A0">
        <w:t xml:space="preserve">of land </w:t>
      </w:r>
      <w:r>
        <w:t>for Tribal Nations.</w:t>
      </w:r>
      <w:r w:rsidR="00BC7D39">
        <w:t xml:space="preserve"> </w:t>
      </w:r>
      <w:r>
        <w:t xml:space="preserve"> In fact, in </w:t>
      </w:r>
      <w:r w:rsidRPr="00D573C1">
        <w:rPr>
          <w:i/>
          <w:iCs/>
        </w:rPr>
        <w:t>Winters</w:t>
      </w:r>
      <w:r>
        <w:t xml:space="preserve"> the Court held that because the reserved tribal rights belong to the Tribes themselves, the United States</w:t>
      </w:r>
      <w:r w:rsidR="006110A0">
        <w:t xml:space="preserve"> could</w:t>
      </w:r>
      <w:r>
        <w:t xml:space="preserve"> not impair </w:t>
      </w:r>
      <w:r w:rsidR="006110A0">
        <w:t>those</w:t>
      </w:r>
      <w:r>
        <w:t xml:space="preserve"> rights by diverting water off the reservation.  </w:t>
      </w:r>
      <w:r w:rsidR="00EF6ED3">
        <w:t xml:space="preserve">See </w:t>
      </w:r>
      <w:r w:rsidR="00EF6ED3" w:rsidRPr="00D573C1">
        <w:rPr>
          <w:i/>
          <w:iCs/>
        </w:rPr>
        <w:t>Cappaert v. United States</w:t>
      </w:r>
      <w:r w:rsidR="00EF6ED3">
        <w:t xml:space="preserve">, 426 U.S. 128,138 (1976) for the most recent holding continuing to </w:t>
      </w:r>
      <w:proofErr w:type="gramStart"/>
      <w:r w:rsidR="00EF6ED3">
        <w:t>following</w:t>
      </w:r>
      <w:proofErr w:type="gramEnd"/>
      <w:r w:rsidR="00EF6ED3">
        <w:t xml:space="preserve"> the reasoning in </w:t>
      </w:r>
      <w:r w:rsidR="00EF6ED3" w:rsidRPr="00BC7D39">
        <w:rPr>
          <w:i/>
          <w:iCs/>
        </w:rPr>
        <w:t>Winters</w:t>
      </w:r>
      <w:r w:rsidR="00EF6ED3">
        <w:t xml:space="preserve">.  </w:t>
      </w:r>
      <w:r>
        <w:t xml:space="preserve">In the case of the </w:t>
      </w:r>
      <w:proofErr w:type="spellStart"/>
      <w:r>
        <w:t>RVIT</w:t>
      </w:r>
      <w:proofErr w:type="spellEnd"/>
      <w:r>
        <w:t xml:space="preserve"> reservation, in </w:t>
      </w:r>
      <w:r w:rsidR="003208C0">
        <w:t xml:space="preserve">creating the reservation the United States impliedly reserved water from all appurtenant sources then unappropriated, including the Eel River, as necessary to accomplish the purposes of the reservation. </w:t>
      </w:r>
      <w:r w:rsidR="006110A0">
        <w:t>Thus, u</w:t>
      </w:r>
      <w:r>
        <w:t xml:space="preserve">nder </w:t>
      </w:r>
      <w:r w:rsidR="006110A0">
        <w:t xml:space="preserve">this </w:t>
      </w:r>
      <w:r>
        <w:t xml:space="preserve">established case law, </w:t>
      </w:r>
      <w:proofErr w:type="spellStart"/>
      <w:r>
        <w:t>RVIT’s</w:t>
      </w:r>
      <w:proofErr w:type="spellEnd"/>
      <w:r>
        <w:t xml:space="preserve"> </w:t>
      </w:r>
      <w:r w:rsidR="003208C0">
        <w:t>federal reserved water rights were vested on the date the reservation was created</w:t>
      </w:r>
      <w:r>
        <w:t>:</w:t>
      </w:r>
      <w:r w:rsidR="003208C0">
        <w:t xml:space="preserve"> 1856. Th</w:t>
      </w:r>
      <w:r w:rsidR="006110A0">
        <w:t xml:space="preserve">at makes them more </w:t>
      </w:r>
      <w:r w:rsidR="003208C0">
        <w:t>senior t</w:t>
      </w:r>
      <w:r w:rsidR="006110A0">
        <w:t>han</w:t>
      </w:r>
      <w:r w:rsidR="003208C0">
        <w:t xml:space="preserve"> </w:t>
      </w:r>
      <w:r w:rsidR="003208C0" w:rsidRPr="00D573C1">
        <w:rPr>
          <w:u w:val="single"/>
        </w:rPr>
        <w:t>all</w:t>
      </w:r>
      <w:r w:rsidR="003208C0">
        <w:t xml:space="preserve"> </w:t>
      </w:r>
      <w:proofErr w:type="gramStart"/>
      <w:r w:rsidR="003208C0">
        <w:t>appropriative</w:t>
      </w:r>
      <w:proofErr w:type="gramEnd"/>
      <w:r w:rsidR="003208C0">
        <w:t xml:space="preserve"> rights in the Eel River system. </w:t>
      </w:r>
    </w:p>
    <w:p w14:paraId="14088EF2" w14:textId="27608F31" w:rsidR="00EF6ED3" w:rsidRDefault="00EF6ED3" w:rsidP="003208C0">
      <w:pPr>
        <w:pStyle w:val="Normal0"/>
      </w:pPr>
    </w:p>
    <w:p w14:paraId="3E6203E6" w14:textId="513C51C4" w:rsidR="00EF6ED3" w:rsidRDefault="00EF6ED3" w:rsidP="003208C0">
      <w:pPr>
        <w:pStyle w:val="Normal0"/>
      </w:pPr>
      <w:r>
        <w:t xml:space="preserve">In the early 1900s, the Potter Valley Project (PVP), which is more junior to the date of </w:t>
      </w:r>
      <w:proofErr w:type="spellStart"/>
      <w:r>
        <w:t>RVIT’s</w:t>
      </w:r>
      <w:proofErr w:type="spellEnd"/>
      <w:r>
        <w:t xml:space="preserve"> reservation by more than 50 years, began diverting Eel River water into the Russian River system. The rights held by PG&amp;E for the PVP, even if transferred to the Commission, would be inferior to those of </w:t>
      </w:r>
      <w:proofErr w:type="spellStart"/>
      <w:r>
        <w:t>RVIT</w:t>
      </w:r>
      <w:proofErr w:type="spellEnd"/>
      <w:r>
        <w:t>, placing the Commission at a significant legal disadvantage.</w:t>
      </w:r>
    </w:p>
    <w:p w14:paraId="1A861CDD" w14:textId="77777777" w:rsidR="00BC7D39" w:rsidRDefault="00BC7D39" w:rsidP="003208C0">
      <w:pPr>
        <w:pStyle w:val="Normal0"/>
      </w:pPr>
    </w:p>
    <w:p w14:paraId="627690C9" w14:textId="6C2423A1" w:rsidR="00D573C1" w:rsidRDefault="003208C0" w:rsidP="00D573C1">
      <w:pPr>
        <w:pStyle w:val="Normal0"/>
      </w:pPr>
      <w:r>
        <w:lastRenderedPageBreak/>
        <w:t xml:space="preserve">Although </w:t>
      </w:r>
      <w:proofErr w:type="spellStart"/>
      <w:r w:rsidR="00D573C1">
        <w:t>RVIT’s</w:t>
      </w:r>
      <w:proofErr w:type="spellEnd"/>
      <w:r w:rsidR="00D573C1">
        <w:t xml:space="preserve"> </w:t>
      </w:r>
      <w:r>
        <w:t>water and fishing rights are unquantified and unadjudicated</w:t>
      </w:r>
      <w:r w:rsidR="00D573C1">
        <w:t xml:space="preserve"> (meaning that a Court has not confirmed the analysis above in a recorded decision</w:t>
      </w:r>
      <w:r w:rsidR="00EF6ED3">
        <w:t xml:space="preserve"> or determined the extent of the water rights</w:t>
      </w:r>
      <w:r w:rsidR="00D573C1">
        <w:t>)</w:t>
      </w:r>
      <w:r>
        <w:t xml:space="preserve">, </w:t>
      </w:r>
      <w:r w:rsidR="00D573C1">
        <w:t>I believe that the rights would be adju</w:t>
      </w:r>
      <w:r w:rsidR="007640E3">
        <w:t xml:space="preserve">dicated in favor of </w:t>
      </w:r>
      <w:proofErr w:type="spellStart"/>
      <w:r w:rsidR="007640E3">
        <w:t>RVIT</w:t>
      </w:r>
      <w:proofErr w:type="spellEnd"/>
      <w:r w:rsidR="007640E3">
        <w:t>, making the</w:t>
      </w:r>
      <w:r w:rsidR="006110A0">
        <w:t>m</w:t>
      </w:r>
      <w:r w:rsidR="007640E3">
        <w:t xml:space="preserve"> the </w:t>
      </w:r>
      <w:r>
        <w:t xml:space="preserve">senior, or </w:t>
      </w:r>
      <w:proofErr w:type="gramStart"/>
      <w:r>
        <w:t>first priority</w:t>
      </w:r>
      <w:proofErr w:type="gramEnd"/>
      <w:r>
        <w:t xml:space="preserve">, rights on the Eel River. </w:t>
      </w:r>
      <w:r w:rsidR="007640E3">
        <w:t xml:space="preserve">It is </w:t>
      </w:r>
      <w:r w:rsidR="006110A0">
        <w:t xml:space="preserve">an open question </w:t>
      </w:r>
      <w:r w:rsidR="007640E3">
        <w:t xml:space="preserve">how a court would </w:t>
      </w:r>
      <w:r w:rsidR="007640E3" w:rsidRPr="006110A0">
        <w:rPr>
          <w:u w:val="single"/>
        </w:rPr>
        <w:t>quantify</w:t>
      </w:r>
      <w:r w:rsidR="007640E3">
        <w:t xml:space="preserve"> those </w:t>
      </w:r>
      <w:proofErr w:type="gramStart"/>
      <w:r w:rsidR="007640E3">
        <w:t>rights, but</w:t>
      </w:r>
      <w:proofErr w:type="gramEnd"/>
      <w:r w:rsidR="007640E3">
        <w:t xml:space="preserve"> spending decades litigating that issue creates significant uncertainty around the Commission’s access to water</w:t>
      </w:r>
      <w:r w:rsidR="00EF6ED3">
        <w:t xml:space="preserve"> in the meantime and would constitute an extensive expense</w:t>
      </w:r>
      <w:r w:rsidR="007640E3">
        <w:t xml:space="preserve">. </w:t>
      </w:r>
    </w:p>
    <w:p w14:paraId="3559DD80" w14:textId="77777777" w:rsidR="007640E3" w:rsidRDefault="007640E3" w:rsidP="003208C0">
      <w:pPr>
        <w:pStyle w:val="Normal0"/>
      </w:pPr>
    </w:p>
    <w:p w14:paraId="24E8338C" w14:textId="78D3908F" w:rsidR="003208C0" w:rsidRDefault="007640E3" w:rsidP="003208C0">
      <w:pPr>
        <w:pStyle w:val="Normal0"/>
      </w:pPr>
      <w:r>
        <w:t xml:space="preserve">Some have argued (and </w:t>
      </w:r>
      <w:r w:rsidR="000D5BA3">
        <w:t xml:space="preserve">the </w:t>
      </w:r>
      <w:r w:rsidR="000D5BA3" w:rsidRPr="000D5BA3">
        <w:rPr>
          <w:i/>
          <w:iCs/>
        </w:rPr>
        <w:t>LaMalfa v. PG&amp;E</w:t>
      </w:r>
      <w:r w:rsidR="000D5BA3">
        <w:t xml:space="preserve"> lawsuit in part </w:t>
      </w:r>
      <w:r>
        <w:t>argu</w:t>
      </w:r>
      <w:r w:rsidR="000D5BA3">
        <w:t>es</w:t>
      </w:r>
      <w:r>
        <w:t xml:space="preserve">) that the importation of water from the Eel to the Russian by PG&amp;E </w:t>
      </w:r>
      <w:r w:rsidR="006110A0">
        <w:t xml:space="preserve">for over 100 years </w:t>
      </w:r>
      <w:r>
        <w:t xml:space="preserve">has resulted in downstream Russian River water users acquiring some sort of </w:t>
      </w:r>
      <w:r w:rsidR="006110A0">
        <w:t xml:space="preserve">senior or protected </w:t>
      </w:r>
      <w:r>
        <w:t xml:space="preserve">right that can be used by those downstream users to stop PG&amp;E’s removal of Scott Dam or </w:t>
      </w:r>
      <w:r w:rsidR="006110A0">
        <w:t xml:space="preserve">against </w:t>
      </w:r>
      <w:proofErr w:type="spellStart"/>
      <w:r>
        <w:t>RVIT’s</w:t>
      </w:r>
      <w:proofErr w:type="spellEnd"/>
      <w:r>
        <w:t xml:space="preserve"> claim of senior water rights.  But there is not a single reported case that supports that claim and there are </w:t>
      </w:r>
      <w:r w:rsidR="000D5BA3">
        <w:t xml:space="preserve">five </w:t>
      </w:r>
      <w:r>
        <w:t xml:space="preserve">cases that directly refute that claim.  </w:t>
      </w:r>
    </w:p>
    <w:p w14:paraId="033452EF" w14:textId="095E57D2" w:rsidR="007640E3" w:rsidRDefault="007640E3" w:rsidP="003208C0">
      <w:pPr>
        <w:pStyle w:val="Normal0"/>
      </w:pPr>
    </w:p>
    <w:p w14:paraId="5D651121" w14:textId="42B0CF31" w:rsidR="007640E3" w:rsidRDefault="006110A0" w:rsidP="007640E3">
      <w:pPr>
        <w:pStyle w:val="Normal0"/>
      </w:pPr>
      <w:r>
        <w:t xml:space="preserve">In general, </w:t>
      </w:r>
      <w:r w:rsidR="007640E3">
        <w:t>California law makes clear that downstream users acquire no permanent or enforceable right to the continued availability of foreign or imported water. The importer of such water retains full ownership and control over its disposition and may lawfully cease importation, storage, or release at any time. Consequently, downstream users who have benefited from the importer’s surplus or return flows do so only by permission, and any use rights they acquire are inherently contingent on the upstream importer. The courts have emphasized that these rights are subject to the contingency that the supply may be terminated entirely at the will of the producer. This principle reflects a consistent judicial recognition that while foreign waters may be appropriated by downstream users, these uses do not give rise to claims against the importer, whose voluntary actions created the availability of the resource in the first place.  The following cases support this principle:</w:t>
      </w:r>
    </w:p>
    <w:p w14:paraId="37F4346F" w14:textId="00F3D32A" w:rsidR="007640E3" w:rsidRDefault="007640E3" w:rsidP="007640E3">
      <w:pPr>
        <w:pStyle w:val="Normal0"/>
      </w:pPr>
    </w:p>
    <w:p w14:paraId="25F587AF" w14:textId="37C57C90" w:rsidR="007640E3" w:rsidRDefault="007640E3" w:rsidP="00A7377F">
      <w:pPr>
        <w:pStyle w:val="ListBullet"/>
      </w:pPr>
      <w:r>
        <w:t>Stevens v. Oakdale Ir</w:t>
      </w:r>
      <w:r w:rsidR="00EF6ED3">
        <w:t>rigation</w:t>
      </w:r>
      <w:r>
        <w:t xml:space="preserve"> Dist</w:t>
      </w:r>
      <w:r w:rsidR="00EF6ED3">
        <w:t>rict</w:t>
      </w:r>
      <w:r>
        <w:t xml:space="preserve"> (1939) 13 Cal. 2d 343 - Downstream appropriators’ land was riparian to a creek and utilized the water for irrigation.  Upstream, Oakdale Irrigation District permitted water to flow into the creek bed as seepage and to drain down to appropriators’ land.  While the appropriators obtained a permit to appropriate continuous flow, the district later built a dam to recapture the waste from the creek and deprived appropriators of the flow.  The court held that, </w:t>
      </w:r>
      <w:proofErr w:type="gramStart"/>
      <w:r>
        <w:t>as a general rule</w:t>
      </w:r>
      <w:proofErr w:type="gramEnd"/>
      <w:r>
        <w:t xml:space="preserve">, the producer of an artificial flow is under no obligation to lower claimants to continue to maintain it.  At any time, the upstream user may forsake the practice, and lower users will not have acquired a right, either by appropriation or prescription, to continued downstream flow.  It </w:t>
      </w:r>
      <w:proofErr w:type="gramStart"/>
      <w:r>
        <w:t>also</w:t>
      </w:r>
      <w:proofErr w:type="gramEnd"/>
      <w:r>
        <w:t xml:space="preserve"> held that while rights may be acquired by lower proprietors in and to such portions of the foreign flow as have been abandoned by the producer and thus made available for other use, these rights are always subject to the contingency that the supply may be intermittent or may be terminated entirely at the will of the producer. </w:t>
      </w:r>
    </w:p>
    <w:p w14:paraId="76CF6746" w14:textId="285A2393" w:rsidR="00A7377F" w:rsidRDefault="007640E3" w:rsidP="00A7377F">
      <w:pPr>
        <w:pStyle w:val="ListBullet"/>
      </w:pPr>
      <w:r>
        <w:t xml:space="preserve">Haun v. De </w:t>
      </w:r>
      <w:proofErr w:type="spellStart"/>
      <w:r>
        <w:t>Vaurs</w:t>
      </w:r>
      <w:proofErr w:type="spellEnd"/>
      <w:r>
        <w:t xml:space="preserve"> (1950) 97 Cal. App. 2d 841</w:t>
      </w:r>
      <w:r w:rsidR="00A7377F">
        <w:t xml:space="preserve"> - </w:t>
      </w:r>
      <w:r>
        <w:t xml:space="preserve">Action by downstream appropriators against upstream users, to restrain the upstream users from diverting water from a channel alleged to be a natural water course.  Plaintiffs were appropriators of specified amounts of water of the stream that were deemed foreign waters, which were waters that had been abandoned by an irrigation district and permitted to flow down a slough.  The district had </w:t>
      </w:r>
      <w:proofErr w:type="gramStart"/>
      <w:r>
        <w:t>entered into</w:t>
      </w:r>
      <w:proofErr w:type="gramEnd"/>
      <w:r>
        <w:t xml:space="preserve"> a contract with upstream users where the district sold to them the </w:t>
      </w:r>
      <w:r>
        <w:lastRenderedPageBreak/>
        <w:t>right to use any surplus water which the district might spill into a drain which connects with the slough.  The agreement did not affect the appropriative rights of the downstream users because those rights were always dependent on the right of the district to dispose of the water in any way it pleased, either through abandonment into the slough or another lawful disposition.  Therefore, the rights to use the district’s surplus water were conditional, as the district never promised any fixed amount and could stop releasing it at any time.  In so ruling, the court state</w:t>
      </w:r>
      <w:r w:rsidR="00EF6ED3">
        <w:t xml:space="preserve">d that </w:t>
      </w:r>
      <w:r>
        <w:t xml:space="preserve">the </w:t>
      </w:r>
      <w:proofErr w:type="gramStart"/>
      <w:r>
        <w:t>appropriative</w:t>
      </w:r>
      <w:proofErr w:type="gramEnd"/>
      <w:r>
        <w:t xml:space="preserve"> rights of respondents are not infringed by such acts of the district for such rights </w:t>
      </w:r>
      <w:proofErr w:type="gramStart"/>
      <w:r>
        <w:t>were at all times</w:t>
      </w:r>
      <w:proofErr w:type="gramEnd"/>
      <w:r>
        <w:t xml:space="preserve"> subject to the contingency that the supply of water available for the lower appropriator might be intermittent and might be even terminated entirely at the will of the district.  Such a decree was made under the law established in Stevens, and the appropriative rights were not established by the contract, for the appropriative rights were always subject to the right of the district to dispose of its surplus water in any way it chose. The upstream users were only constrained to not interfere with water that was naturally occurring in the stream, as the downstream appropriators were entitled to by permit. </w:t>
      </w:r>
    </w:p>
    <w:p w14:paraId="63E98165" w14:textId="2C8F53DB" w:rsidR="007640E3" w:rsidRDefault="007640E3" w:rsidP="00A7377F">
      <w:pPr>
        <w:pStyle w:val="ListBullet"/>
      </w:pPr>
      <w:r>
        <w:t>Lindblom v. Round Val</w:t>
      </w:r>
      <w:r w:rsidR="00EF6ED3">
        <w:t>ley</w:t>
      </w:r>
      <w:r>
        <w:t xml:space="preserve"> Water Co. (1918) 178 Cal. 450</w:t>
      </w:r>
      <w:r w:rsidR="00A7377F">
        <w:t xml:space="preserve"> - </w:t>
      </w:r>
      <w:r>
        <w:t xml:space="preserve">The upstream user for many years maintained a reservoir, impounding water with a dam at the head of North Canyon.  Sales of water were made from time to time to consumers at various points below the dam.  The plaintiff, downstream appropriator, was in possession of mining property in North Canyon, a short distance below the upstream user’s dam.  The action was brought upon the theory that downstream appropriator’s land was riparian to a natural stream running through North Canyon, and that the upstream user was controlling water impounded by its dam in such manner as to invade downstream appropriator’s riparian rights. Judgment was entered in favor of the upstream user.  The California Supreme Court </w:t>
      </w:r>
      <w:proofErr w:type="gramStart"/>
      <w:r>
        <w:t>held</w:t>
      </w:r>
      <w:proofErr w:type="gramEnd"/>
      <w:r>
        <w:t xml:space="preserve"> the downstream appropriator cannot compel the upstream user to maintain a continuous artificial flow in the stream.  Downstream users’ rights extend only to the natural flow that would have existed before the dam; minus the water the upstream user lawfully uses for its own beneficial purposes.</w:t>
      </w:r>
    </w:p>
    <w:p w14:paraId="2031C667" w14:textId="46022219" w:rsidR="007640E3" w:rsidRDefault="007640E3" w:rsidP="00A7377F">
      <w:pPr>
        <w:pStyle w:val="ListBullet"/>
      </w:pPr>
      <w:r>
        <w:t>E. C. Horst Co. v. New Blue Point Min. Co. (1918) 177 Cal. 631</w:t>
      </w:r>
      <w:r w:rsidR="00A7377F">
        <w:t xml:space="preserve"> - </w:t>
      </w:r>
      <w:r>
        <w:t xml:space="preserve">Downstream appropriators owned land riparian to a river and used water that flowed over it.  Upstream users also owned land riparian to the water but had earlier forfeited the right to take any of the natural flow of the creek or river.  Downstream appropriators brought an action seeking to prevent upstream users from diverting. In addition to the natural flow of water, there was substantial "foreign water" which was put into the stream from other sources.  The court found that as the surplus waters would not, </w:t>
      </w:r>
      <w:proofErr w:type="gramStart"/>
      <w:r>
        <w:t>in the course of</w:t>
      </w:r>
      <w:proofErr w:type="gramEnd"/>
      <w:r>
        <w:t xml:space="preserve"> nature, reach the downstream appropriator’s land, they could not complain of being deprived of water </w:t>
      </w:r>
      <w:proofErr w:type="gramStart"/>
      <w:r>
        <w:t>later on</w:t>
      </w:r>
      <w:proofErr w:type="gramEnd"/>
      <w:r>
        <w:t xml:space="preserve">.  There, the court stated, “the owner of an artificial watercourse is not bound to maintain the artificial stream for the benefit of those who have appropriated waters escaping therefrom. . . . In other words, the appropriator merely secures the corpus of the water thus escaping as </w:t>
      </w:r>
      <w:proofErr w:type="spellStart"/>
      <w:proofErr w:type="gramStart"/>
      <w:r>
        <w:t>personalty</w:t>
      </w:r>
      <w:proofErr w:type="spellEnd"/>
      <w:r>
        <w:t>, but</w:t>
      </w:r>
      <w:proofErr w:type="gramEnd"/>
      <w:r>
        <w:t xml:space="preserve"> does not thereby secure or acquire the right to the continuous flow of such </w:t>
      </w:r>
      <w:proofErr w:type="gramStart"/>
      <w:r>
        <w:t>water.”</w:t>
      </w:r>
      <w:proofErr w:type="gramEnd"/>
    </w:p>
    <w:p w14:paraId="6508CC95" w14:textId="06A04313" w:rsidR="007640E3" w:rsidRDefault="007640E3" w:rsidP="00A7377F">
      <w:pPr>
        <w:pStyle w:val="ListBullet"/>
      </w:pPr>
      <w:r>
        <w:t xml:space="preserve">Crane v. Stevinson (1936) 5 Cal.2d 387 </w:t>
      </w:r>
      <w:r w:rsidR="00A7377F">
        <w:t xml:space="preserve">- </w:t>
      </w:r>
      <w:r>
        <w:t xml:space="preserve">Upstream landowner sought review of a judgment which declared downstream corporation the owner of certain rights to </w:t>
      </w:r>
      <w:r>
        <w:lastRenderedPageBreak/>
        <w:t xml:space="preserve">appropriate stated quantities of water.  At issue was the right of control and use of foreign water in the stream.  The court affirmed foreign waters were subject to appropriation, but in doing so noted, “where such waters have been brought into a stream as the result of abandonment by another appropriator, there is no way to compel him to continue such abandonment, necessarily affects the value of the subsequent appropriation right, but does not affect the existence of the right, subject to the limitation caused by the nature of the water supply in question.”  Although a downstream user may still acquire a right to appropriate abandoned water, </w:t>
      </w:r>
      <w:proofErr w:type="gramStart"/>
      <w:r>
        <w:t>if and when</w:t>
      </w:r>
      <w:proofErr w:type="gramEnd"/>
      <w:r>
        <w:t xml:space="preserve"> it exists, its </w:t>
      </w:r>
      <w:proofErr w:type="gramStart"/>
      <w:r>
        <w:t>permanency</w:t>
      </w:r>
      <w:proofErr w:type="gramEnd"/>
      <w:r>
        <w:t xml:space="preserve"> is not assured. Therefore, an upstream producer may discontinue the foreign flow at will. </w:t>
      </w:r>
    </w:p>
    <w:p w14:paraId="035BC13A" w14:textId="77777777" w:rsidR="007640E3" w:rsidRDefault="007640E3" w:rsidP="003208C0">
      <w:pPr>
        <w:pStyle w:val="Normal0"/>
      </w:pPr>
    </w:p>
    <w:p w14:paraId="623E526A" w14:textId="0BECA7FE" w:rsidR="007640E3" w:rsidRDefault="007640E3" w:rsidP="003208C0">
      <w:pPr>
        <w:pStyle w:val="Normal0"/>
      </w:pPr>
    </w:p>
    <w:p w14:paraId="10F57BF1" w14:textId="77777777" w:rsidR="007640E3" w:rsidRDefault="007640E3" w:rsidP="003208C0">
      <w:pPr>
        <w:pStyle w:val="Normal0"/>
      </w:pPr>
    </w:p>
    <w:p w14:paraId="6B323523" w14:textId="40FF5931" w:rsidR="003208C0" w:rsidRPr="002B3833" w:rsidRDefault="003208C0" w:rsidP="003208C0">
      <w:pPr>
        <w:pStyle w:val="Normal0"/>
      </w:pPr>
    </w:p>
    <w:p w14:paraId="5B7005D0" w14:textId="20C41E57" w:rsidR="006250A6" w:rsidRPr="00CF0F8F" w:rsidRDefault="00CF0F8F" w:rsidP="00CF0F8F">
      <w:pPr>
        <w:pStyle w:val="Normal0"/>
        <w:spacing w:before="120"/>
      </w:pPr>
      <w:r w:rsidRPr="00CF0F8F">
        <w:rPr>
          <w:noProof/>
          <w:spacing w:val="-2"/>
          <w:sz w:val="12"/>
        </w:rPr>
        <w:t>5212769.1</w:t>
      </w:r>
      <w:r w:rsidRPr="00CF0F8F">
        <w:t xml:space="preserve"> </w:t>
      </w:r>
    </w:p>
    <w:sectPr w:rsidR="006250A6" w:rsidRPr="00CF0F8F" w:rsidSect="00CF0F8F">
      <w:headerReference w:type="even" r:id="rId7"/>
      <w:headerReference w:type="default" r:id="rId8"/>
      <w:footerReference w:type="even" r:id="rId9"/>
      <w:footerReference w:type="default" r:id="rId10"/>
      <w:headerReference w:type="first" r:id="rId11"/>
      <w:footerReference w:type="first" r:id="rId12"/>
      <w:pgSz w:w="12240" w:h="15840" w:code="1"/>
      <w:pgMar w:top="432" w:right="1440" w:bottom="1440" w:left="1440" w:header="15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562E" w14:textId="77777777" w:rsidR="00597D3B" w:rsidRDefault="00597D3B">
      <w:r>
        <w:separator/>
      </w:r>
    </w:p>
  </w:endnote>
  <w:endnote w:type="continuationSeparator" w:id="0">
    <w:p w14:paraId="5EB6B0AB" w14:textId="77777777" w:rsidR="00597D3B" w:rsidRDefault="00597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1053AFF" w:usb1="0000008D" w:usb2="00000000" w:usb3="00000000" w:csb0="006609FF" w:csb1="00BD5CC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B906F" w14:textId="77777777" w:rsidR="009347A4" w:rsidRDefault="00934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0525" w14:textId="77777777" w:rsidR="009347A4" w:rsidRDefault="009347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F773" w14:textId="77777777" w:rsidR="009347A4" w:rsidRDefault="00934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C3AD4" w14:textId="77777777" w:rsidR="00597D3B" w:rsidRDefault="00597D3B">
      <w:r>
        <w:separator/>
      </w:r>
    </w:p>
  </w:footnote>
  <w:footnote w:type="continuationSeparator" w:id="0">
    <w:p w14:paraId="28A0C2D3" w14:textId="77777777" w:rsidR="00597D3B" w:rsidRDefault="00597D3B">
      <w:r>
        <w:separator/>
      </w:r>
    </w:p>
  </w:footnote>
  <w:footnote w:type="continuationNotice" w:id="1">
    <w:p w14:paraId="64C67D42" w14:textId="77777777" w:rsidR="00597D3B" w:rsidRDefault="00597D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ECEF" w14:textId="77777777" w:rsidR="006250A6" w:rsidRPr="00A7377F" w:rsidRDefault="006250A6">
    <w:pPr>
      <w:pStyle w:val="Header"/>
    </w:pPr>
    <w:bookmarkStart w:id="0" w:name="IAMLETTE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9281" w14:textId="77777777" w:rsidR="006250A6" w:rsidRDefault="003208C0" w:rsidP="004051A2">
    <w:pPr>
      <w:jc w:val="right"/>
      <w:rPr>
        <w:sz w:val="2"/>
      </w:rPr>
    </w:pPr>
    <w:r w:rsidRPr="003208C0">
      <w:rPr>
        <w:noProof/>
        <w:sz w:val="2"/>
      </w:rPr>
      <w:drawing>
        <wp:anchor distT="0" distB="0" distL="114300" distR="114300" simplePos="0" relativeHeight="251661312" behindDoc="0" locked="0" layoutInCell="1" allowOverlap="1" wp14:anchorId="795F25F1" wp14:editId="523F8012">
          <wp:simplePos x="0" y="0"/>
          <wp:positionH relativeFrom="page">
            <wp:align>center</wp:align>
          </wp:positionH>
          <wp:positionV relativeFrom="page">
            <wp:posOffset>9464040</wp:posOffset>
          </wp:positionV>
          <wp:extent cx="1426464" cy="118872"/>
          <wp:effectExtent l="0" t="0" r="2540" b="0"/>
          <wp:wrapNone/>
          <wp:docPr id="8" name="Letterhead2nd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_LOGO-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464" cy="118872"/>
                  </a:xfrm>
                  <a:prstGeom prst="rect">
                    <a:avLst/>
                  </a:prstGeom>
                  <a:noFill/>
                </pic:spPr>
              </pic:pic>
            </a:graphicData>
          </a:graphic>
          <wp14:sizeRelH relativeFrom="page">
            <wp14:pctWidth>0</wp14:pctWidth>
          </wp14:sizeRelH>
          <wp14:sizeRelV relativeFrom="page">
            <wp14:pctHeight>0</wp14:pctHeight>
          </wp14:sizeRelV>
        </wp:anchor>
      </w:drawing>
    </w:r>
  </w:p>
  <w:p w14:paraId="1F97D471" w14:textId="77777777" w:rsidR="000D5BA3" w:rsidRDefault="000D5BA3">
    <w:pPr>
      <w:pStyle w:val="Header"/>
    </w:pPr>
  </w:p>
  <w:p w14:paraId="6E1D2A07" w14:textId="77777777" w:rsidR="000D5BA3" w:rsidRDefault="000D5BA3">
    <w:pPr>
      <w:pStyle w:val="Header"/>
    </w:pPr>
  </w:p>
  <w:p w14:paraId="46D259F4" w14:textId="1EBDB032" w:rsidR="006250A6" w:rsidRDefault="003208C0">
    <w:pPr>
      <w:pStyle w:val="Header"/>
    </w:pPr>
    <w:r>
      <w:t xml:space="preserve">Mendocino County Inland Water and Power </w:t>
    </w:r>
    <w:r w:rsidR="00A7377F">
      <w:t>Commission</w:t>
    </w:r>
    <w:r>
      <w:t xml:space="preserve"> Board of Directors</w:t>
    </w:r>
  </w:p>
  <w:p w14:paraId="0ED1BF8F" w14:textId="77777777" w:rsidR="006250A6" w:rsidRDefault="005E5084">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AE919D" w14:textId="77777777" w:rsidR="006250A6" w:rsidRDefault="006250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A213" w14:textId="77777777" w:rsidR="006250A6" w:rsidRPr="00D34E2C" w:rsidRDefault="003208C0" w:rsidP="003208C0">
    <w:pPr>
      <w:pStyle w:val="LetterHeader"/>
    </w:pPr>
    <w:r>
      <w:rPr>
        <w:noProof/>
      </w:rPr>
      <mc:AlternateContent>
        <mc:Choice Requires="wps">
          <w:drawing>
            <wp:anchor distT="0" distB="0" distL="114300" distR="114300" simplePos="0" relativeHeight="251663360" behindDoc="0" locked="0" layoutInCell="1" allowOverlap="1" wp14:anchorId="69210422" wp14:editId="32A88523">
              <wp:simplePos x="0" y="0"/>
              <wp:positionH relativeFrom="page">
                <wp:posOffset>3772535</wp:posOffset>
              </wp:positionH>
              <wp:positionV relativeFrom="page">
                <wp:posOffset>434975</wp:posOffset>
              </wp:positionV>
              <wp:extent cx="3785616" cy="1399032"/>
              <wp:effectExtent l="0" t="0" r="0" b="0"/>
              <wp:wrapNone/>
              <wp:docPr id="1" name="AuthorDa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5616" cy="1399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jc w:val="center"/>
                            <w:tblLayout w:type="fixed"/>
                            <w:tblCellMar>
                              <w:left w:w="115" w:type="dxa"/>
                              <w:right w:w="115" w:type="dxa"/>
                            </w:tblCellMar>
                            <w:tblLook w:val="0000" w:firstRow="0" w:lastRow="0" w:firstColumn="0" w:lastColumn="0" w:noHBand="0" w:noVBand="0"/>
                          </w:tblPr>
                          <w:tblGrid>
                            <w:gridCol w:w="3317"/>
                            <w:gridCol w:w="2371"/>
                          </w:tblGrid>
                          <w:tr w:rsidR="003208C0" w:rsidRPr="000A559C" w14:paraId="688EF794" w14:textId="77777777" w:rsidTr="00BE27C7">
                            <w:trPr>
                              <w:trHeight w:val="720"/>
                              <w:jc w:val="center"/>
                            </w:trPr>
                            <w:tc>
                              <w:tcPr>
                                <w:tcW w:w="3298" w:type="dxa"/>
                              </w:tcPr>
                              <w:p w14:paraId="3BCDE64D"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Scott L. Shapiro</w:t>
                                </w:r>
                              </w:p>
                              <w:p w14:paraId="6508E718"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sshapiro@downeybrand.com</w:t>
                                </w:r>
                              </w:p>
                              <w:p w14:paraId="21967CBB"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916.520.5234 Direct</w:t>
                                </w:r>
                              </w:p>
                              <w:p w14:paraId="253BD2D3" w14:textId="77777777" w:rsidR="003208C0" w:rsidRPr="000A559C" w:rsidRDefault="003208C0" w:rsidP="000A559C">
                                <w:pPr>
                                  <w:rPr>
                                    <w:rFonts w:ascii="Tw Cen MT" w:hAnsi="Tw Cen MT"/>
                                    <w:noProof/>
                                    <w:spacing w:val="10"/>
                                    <w:sz w:val="16"/>
                                    <w:szCs w:val="16"/>
                                  </w:rPr>
                                </w:pPr>
                                <w:r>
                                  <w:rPr>
                                    <w:rFonts w:ascii="Tw Cen MT" w:hAnsi="Tw Cen MT"/>
                                    <w:noProof/>
                                    <w:spacing w:val="10"/>
                                    <w:sz w:val="16"/>
                                    <w:szCs w:val="16"/>
                                  </w:rPr>
                                  <w:t>916.520.5634 Fax</w:t>
                                </w:r>
                              </w:p>
                            </w:tc>
                            <w:tc>
                              <w:tcPr>
                                <w:tcW w:w="2358" w:type="dxa"/>
                                <w:tcMar>
                                  <w:left w:w="0" w:type="dxa"/>
                                  <w:right w:w="0" w:type="dxa"/>
                                </w:tcMar>
                              </w:tcPr>
                              <w:p w14:paraId="0313A7AC"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Downey Brand LLP</w:t>
                                </w:r>
                              </w:p>
                              <w:p w14:paraId="24141BBF"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621 Capitol Mall, 18</w:t>
                                </w:r>
                                <w:r w:rsidRPr="003208C0">
                                  <w:rPr>
                                    <w:rFonts w:ascii="Tw Cen MT" w:hAnsi="Tw Cen MT"/>
                                    <w:noProof/>
                                    <w:spacing w:val="10"/>
                                    <w:sz w:val="16"/>
                                    <w:szCs w:val="16"/>
                                    <w:vertAlign w:val="superscript"/>
                                  </w:rPr>
                                  <w:t>th</w:t>
                                </w:r>
                                <w:r>
                                  <w:rPr>
                                    <w:rFonts w:ascii="Tw Cen MT" w:hAnsi="Tw Cen MT"/>
                                    <w:noProof/>
                                    <w:spacing w:val="10"/>
                                    <w:sz w:val="16"/>
                                    <w:szCs w:val="16"/>
                                  </w:rPr>
                                  <w:t xml:space="preserve"> Floor</w:t>
                                </w:r>
                              </w:p>
                              <w:p w14:paraId="327932F3"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Sacramento, CA 95814</w:t>
                                </w:r>
                              </w:p>
                              <w:p w14:paraId="6EA46679"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916.444.1000 Main</w:t>
                                </w:r>
                              </w:p>
                              <w:p w14:paraId="33FC13C3" w14:textId="77777777" w:rsidR="003208C0" w:rsidRPr="000A559C" w:rsidRDefault="003208C0" w:rsidP="000A559C">
                                <w:pPr>
                                  <w:rPr>
                                    <w:rFonts w:ascii="Tw Cen MT" w:hAnsi="Tw Cen MT"/>
                                    <w:noProof/>
                                    <w:spacing w:val="10"/>
                                    <w:sz w:val="16"/>
                                    <w:szCs w:val="16"/>
                                  </w:rPr>
                                </w:pPr>
                                <w:r>
                                  <w:rPr>
                                    <w:rFonts w:ascii="Tw Cen MT" w:hAnsi="Tw Cen MT"/>
                                    <w:noProof/>
                                    <w:spacing w:val="10"/>
                                    <w:sz w:val="16"/>
                                    <w:szCs w:val="16"/>
                                  </w:rPr>
                                  <w:t>downeybrand.com</w:t>
                                </w:r>
                              </w:p>
                            </w:tc>
                          </w:tr>
                        </w:tbl>
                        <w:p w14:paraId="4FBCDD81" w14:textId="77777777" w:rsidR="003208C0" w:rsidRPr="00A167DD" w:rsidRDefault="003208C0" w:rsidP="000A559C">
                          <w:pP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10422" id="_x0000_t202" coordsize="21600,21600" o:spt="202" path="m,l,21600r21600,l21600,xe">
              <v:stroke joinstyle="miter"/>
              <v:path gradientshapeok="t" o:connecttype="rect"/>
            </v:shapetype>
            <v:shape id="AuthorData" o:spid="_x0000_s1026" type="#_x0000_t202" style="position:absolute;margin-left:297.05pt;margin-top:34.25pt;width:298.1pt;height:110.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" filled="f" stroked="f">
              <v:textbox>
                <w:txbxContent>
                  <w:tbl>
                    <w:tblPr>
                      <w:tblW w:w="5000" w:type="pct"/>
                      <w:jc w:val="center"/>
                      <w:tblLayout w:type="fixed"/>
                      <w:tblCellMar>
                        <w:left w:w="115" w:type="dxa"/>
                        <w:right w:w="115" w:type="dxa"/>
                      </w:tblCellMar>
                      <w:tblLook w:val="0000" w:firstRow="0" w:lastRow="0" w:firstColumn="0" w:lastColumn="0" w:noHBand="0" w:noVBand="0"/>
                    </w:tblPr>
                    <w:tblGrid>
                      <w:gridCol w:w="3317"/>
                      <w:gridCol w:w="2371"/>
                    </w:tblGrid>
                    <w:tr w:rsidR="003208C0" w:rsidRPr="000A559C" w14:paraId="688EF794" w14:textId="77777777" w:rsidTr="00BE27C7">
                      <w:trPr>
                        <w:trHeight w:val="720"/>
                        <w:jc w:val="center"/>
                      </w:trPr>
                      <w:tc>
                        <w:tcPr>
                          <w:tcW w:w="3298" w:type="dxa"/>
                        </w:tcPr>
                        <w:p w14:paraId="3BCDE64D"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Scott L. Shapiro</w:t>
                          </w:r>
                        </w:p>
                        <w:p w14:paraId="6508E718"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sshapiro@downeybrand.com</w:t>
                          </w:r>
                        </w:p>
                        <w:p w14:paraId="21967CBB"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916.520.5234 Direct</w:t>
                          </w:r>
                        </w:p>
                        <w:p w14:paraId="253BD2D3" w14:textId="77777777" w:rsidR="003208C0" w:rsidRPr="000A559C" w:rsidRDefault="003208C0" w:rsidP="000A559C">
                          <w:pPr>
                            <w:rPr>
                              <w:rFonts w:ascii="Tw Cen MT" w:hAnsi="Tw Cen MT"/>
                              <w:noProof/>
                              <w:spacing w:val="10"/>
                              <w:sz w:val="16"/>
                              <w:szCs w:val="16"/>
                            </w:rPr>
                          </w:pPr>
                          <w:r>
                            <w:rPr>
                              <w:rFonts w:ascii="Tw Cen MT" w:hAnsi="Tw Cen MT"/>
                              <w:noProof/>
                              <w:spacing w:val="10"/>
                              <w:sz w:val="16"/>
                              <w:szCs w:val="16"/>
                            </w:rPr>
                            <w:t>916.520.5634 Fax</w:t>
                          </w:r>
                        </w:p>
                      </w:tc>
                      <w:tc>
                        <w:tcPr>
                          <w:tcW w:w="2358" w:type="dxa"/>
                          <w:tcMar>
                            <w:left w:w="0" w:type="dxa"/>
                            <w:right w:w="0" w:type="dxa"/>
                          </w:tcMar>
                        </w:tcPr>
                        <w:p w14:paraId="0313A7AC"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Downey Brand LLP</w:t>
                          </w:r>
                        </w:p>
                        <w:p w14:paraId="24141BBF"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621 Capitol Mall, 18</w:t>
                          </w:r>
                          <w:r w:rsidRPr="003208C0">
                            <w:rPr>
                              <w:rFonts w:ascii="Tw Cen MT" w:hAnsi="Tw Cen MT"/>
                              <w:noProof/>
                              <w:spacing w:val="10"/>
                              <w:sz w:val="16"/>
                              <w:szCs w:val="16"/>
                              <w:vertAlign w:val="superscript"/>
                            </w:rPr>
                            <w:t>th</w:t>
                          </w:r>
                          <w:r>
                            <w:rPr>
                              <w:rFonts w:ascii="Tw Cen MT" w:hAnsi="Tw Cen MT"/>
                              <w:noProof/>
                              <w:spacing w:val="10"/>
                              <w:sz w:val="16"/>
                              <w:szCs w:val="16"/>
                            </w:rPr>
                            <w:t xml:space="preserve"> Floor</w:t>
                          </w:r>
                        </w:p>
                        <w:p w14:paraId="327932F3"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Sacramento, CA 95814</w:t>
                          </w:r>
                        </w:p>
                        <w:p w14:paraId="6EA46679" w14:textId="77777777" w:rsidR="003208C0" w:rsidRDefault="003208C0" w:rsidP="000A559C">
                          <w:pPr>
                            <w:rPr>
                              <w:rFonts w:ascii="Tw Cen MT" w:hAnsi="Tw Cen MT"/>
                              <w:noProof/>
                              <w:spacing w:val="10"/>
                              <w:sz w:val="16"/>
                              <w:szCs w:val="16"/>
                            </w:rPr>
                          </w:pPr>
                          <w:r>
                            <w:rPr>
                              <w:rFonts w:ascii="Tw Cen MT" w:hAnsi="Tw Cen MT"/>
                              <w:noProof/>
                              <w:spacing w:val="10"/>
                              <w:sz w:val="16"/>
                              <w:szCs w:val="16"/>
                            </w:rPr>
                            <w:t>916.444.1000 Main</w:t>
                          </w:r>
                        </w:p>
                        <w:p w14:paraId="33FC13C3" w14:textId="77777777" w:rsidR="003208C0" w:rsidRPr="000A559C" w:rsidRDefault="003208C0" w:rsidP="000A559C">
                          <w:pPr>
                            <w:rPr>
                              <w:rFonts w:ascii="Tw Cen MT" w:hAnsi="Tw Cen MT"/>
                              <w:noProof/>
                              <w:spacing w:val="10"/>
                              <w:sz w:val="16"/>
                              <w:szCs w:val="16"/>
                            </w:rPr>
                          </w:pPr>
                          <w:r>
                            <w:rPr>
                              <w:rFonts w:ascii="Tw Cen MT" w:hAnsi="Tw Cen MT"/>
                              <w:noProof/>
                              <w:spacing w:val="10"/>
                              <w:sz w:val="16"/>
                              <w:szCs w:val="16"/>
                            </w:rPr>
                            <w:t>downeybrand.com</w:t>
                          </w:r>
                        </w:p>
                      </w:tc>
                    </w:tr>
                  </w:tbl>
                  <w:p w14:paraId="4FBCDD81" w14:textId="77777777" w:rsidR="003208C0" w:rsidRPr="00A167DD" w:rsidRDefault="003208C0" w:rsidP="000A559C">
                    <w:pPr>
                      <w:rPr>
                        <w:sz w:val="12"/>
                      </w:rPr>
                    </w:pPr>
                  </w:p>
                </w:txbxContent>
              </v:textbox>
              <w10:wrap anchorx="page" anchory="page"/>
            </v:shape>
          </w:pict>
        </mc:Fallback>
      </mc:AlternateContent>
    </w:r>
    <w:r>
      <w:rPr>
        <w:noProof/>
      </w:rPr>
      <w:drawing>
        <wp:anchor distT="0" distB="0" distL="114300" distR="114300" simplePos="0" relativeHeight="251659264" behindDoc="0" locked="0" layoutInCell="1" allowOverlap="1" wp14:anchorId="06086211" wp14:editId="0AA6CB32">
          <wp:simplePos x="0" y="0"/>
          <wp:positionH relativeFrom="page">
            <wp:posOffset>685800</wp:posOffset>
          </wp:positionH>
          <wp:positionV relativeFrom="page">
            <wp:posOffset>511810</wp:posOffset>
          </wp:positionV>
          <wp:extent cx="1921723" cy="164592"/>
          <wp:effectExtent l="0" t="0" r="2540" b="6985"/>
          <wp:wrapNone/>
          <wp:docPr id="7" name="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_LOGO-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1723" cy="164592"/>
                  </a:xfrm>
                  <a:prstGeom prst="rect">
                    <a:avLst/>
                  </a:prstGeom>
                  <a:noFill/>
                </pic:spPr>
              </pic:pic>
            </a:graphicData>
          </a:graphic>
          <wp14:sizeRelH relativeFrom="page">
            <wp14:pctWidth>0</wp14:pctWidth>
          </wp14:sizeRelH>
          <wp14:sizeRelV relativeFrom="page">
            <wp14:pctHeight>0</wp14:pctHeight>
          </wp14:sizeRelV>
        </wp:anchor>
      </w:drawing>
    </w:r>
    <w:r w:rsidR="005E5084" w:rsidRPr="00D34E2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584E930"/>
    <w:lvl w:ilvl="0">
      <w:start w:val="1"/>
      <w:numFmt w:val="bullet"/>
      <w:pStyle w:val="ListBullet5"/>
      <w:lvlText w:val=""/>
      <w:lvlJc w:val="left"/>
      <w:pPr>
        <w:tabs>
          <w:tab w:val="num" w:pos="720"/>
        </w:tabs>
        <w:ind w:left="3600" w:hanging="720"/>
      </w:pPr>
      <w:rPr>
        <w:rFonts w:ascii="Symbol" w:hAnsi="Symbol" w:hint="default"/>
      </w:rPr>
    </w:lvl>
  </w:abstractNum>
  <w:abstractNum w:abstractNumId="1" w15:restartNumberingAfterBreak="0">
    <w:nsid w:val="FFFFFF81"/>
    <w:multiLevelType w:val="singleLevel"/>
    <w:tmpl w:val="E682D104"/>
    <w:lvl w:ilvl="0">
      <w:start w:val="1"/>
      <w:numFmt w:val="bullet"/>
      <w:pStyle w:val="ListBullet4"/>
      <w:lvlText w:val=""/>
      <w:lvlJc w:val="left"/>
      <w:pPr>
        <w:tabs>
          <w:tab w:val="num" w:pos="720"/>
        </w:tabs>
        <w:ind w:left="2880" w:hanging="720"/>
      </w:pPr>
      <w:rPr>
        <w:rFonts w:ascii="Symbol" w:hAnsi="Symbol" w:hint="default"/>
      </w:rPr>
    </w:lvl>
  </w:abstractNum>
  <w:abstractNum w:abstractNumId="2" w15:restartNumberingAfterBreak="0">
    <w:nsid w:val="FFFFFF82"/>
    <w:multiLevelType w:val="singleLevel"/>
    <w:tmpl w:val="892604E0"/>
    <w:lvl w:ilvl="0">
      <w:start w:val="1"/>
      <w:numFmt w:val="bullet"/>
      <w:pStyle w:val="ListBullet3"/>
      <w:lvlText w:val=""/>
      <w:lvlJc w:val="left"/>
      <w:pPr>
        <w:tabs>
          <w:tab w:val="num" w:pos="720"/>
        </w:tabs>
        <w:ind w:left="2160" w:hanging="720"/>
      </w:pPr>
      <w:rPr>
        <w:rFonts w:ascii="Symbol" w:hAnsi="Symbol" w:hint="default"/>
      </w:rPr>
    </w:lvl>
  </w:abstractNum>
  <w:abstractNum w:abstractNumId="3" w15:restartNumberingAfterBreak="0">
    <w:nsid w:val="FFFFFF83"/>
    <w:multiLevelType w:val="singleLevel"/>
    <w:tmpl w:val="55448796"/>
    <w:lvl w:ilvl="0">
      <w:start w:val="1"/>
      <w:numFmt w:val="bullet"/>
      <w:pStyle w:val="ListBullet2"/>
      <w:lvlText w:val=""/>
      <w:lvlJc w:val="left"/>
      <w:pPr>
        <w:tabs>
          <w:tab w:val="num" w:pos="720"/>
        </w:tabs>
        <w:ind w:left="1440" w:hanging="720"/>
      </w:pPr>
      <w:rPr>
        <w:rFonts w:ascii="Symbol" w:hAnsi="Symbol" w:hint="default"/>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37394403"/>
    <w:multiLevelType w:val="hybridMultilevel"/>
    <w:tmpl w:val="EA9C2A94"/>
    <w:lvl w:ilvl="0" w:tplc="E6246F80">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7573004">
    <w:abstractNumId w:val="5"/>
  </w:num>
  <w:num w:numId="2" w16cid:durableId="914705248">
    <w:abstractNumId w:val="4"/>
  </w:num>
  <w:num w:numId="3" w16cid:durableId="1340042252">
    <w:abstractNumId w:val="4"/>
  </w:num>
  <w:num w:numId="4" w16cid:durableId="102072105">
    <w:abstractNumId w:val="3"/>
  </w:num>
  <w:num w:numId="5" w16cid:durableId="1788155440">
    <w:abstractNumId w:val="3"/>
  </w:num>
  <w:num w:numId="6" w16cid:durableId="567807029">
    <w:abstractNumId w:val="2"/>
  </w:num>
  <w:num w:numId="7" w16cid:durableId="941915311">
    <w:abstractNumId w:val="2"/>
  </w:num>
  <w:num w:numId="8" w16cid:durableId="1209337536">
    <w:abstractNumId w:val="1"/>
  </w:num>
  <w:num w:numId="9" w16cid:durableId="225336884">
    <w:abstractNumId w:val="1"/>
  </w:num>
  <w:num w:numId="10" w16cid:durableId="306935988">
    <w:abstractNumId w:val="0"/>
  </w:num>
  <w:num w:numId="11" w16cid:durableId="1224874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8C0"/>
    <w:rsid w:val="0001482A"/>
    <w:rsid w:val="000649DA"/>
    <w:rsid w:val="000D5BA3"/>
    <w:rsid w:val="000F34D6"/>
    <w:rsid w:val="003208C0"/>
    <w:rsid w:val="003E0AD0"/>
    <w:rsid w:val="004051A2"/>
    <w:rsid w:val="00597D3B"/>
    <w:rsid w:val="005E5084"/>
    <w:rsid w:val="006110A0"/>
    <w:rsid w:val="006250A6"/>
    <w:rsid w:val="007640E3"/>
    <w:rsid w:val="00873179"/>
    <w:rsid w:val="009347A4"/>
    <w:rsid w:val="00A7377F"/>
    <w:rsid w:val="00B077D8"/>
    <w:rsid w:val="00B07D9D"/>
    <w:rsid w:val="00BC7D39"/>
    <w:rsid w:val="00CF0F8F"/>
    <w:rsid w:val="00D34E2C"/>
    <w:rsid w:val="00D573C1"/>
    <w:rsid w:val="00EF6ED3"/>
    <w:rsid w:val="00F10303"/>
    <w:rsid w:val="00F94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0070D6"/>
  <w15:chartTrackingRefBased/>
  <w15:docId w15:val="{84FB873B-8B0C-46A9-AC31-4C39F7C9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pPr>
      <w:spacing w:after="240"/>
    </w:pPr>
  </w:style>
  <w:style w:type="paragraph" w:customStyle="1" w:styleId="10sp0nospaceafter">
    <w:name w:val="_1.0sp 0&quot; (no space after)"/>
    <w:basedOn w:val="Normal0"/>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customStyle="1" w:styleId="10sp15">
    <w:name w:val="_1.0sp 1.5&quot;"/>
    <w:basedOn w:val="Normal0"/>
    <w:pPr>
      <w:spacing w:after="240"/>
      <w:ind w:firstLine="2160"/>
    </w:pPr>
  </w:style>
  <w:style w:type="paragraph" w:customStyle="1" w:styleId="10sp2">
    <w:name w:val="_1.0sp 2&quot;"/>
    <w:basedOn w:val="Normal0"/>
    <w:qFormat/>
    <w:pPr>
      <w:spacing w:after="240"/>
      <w:ind w:firstLine="2880"/>
    </w:pPr>
  </w:style>
  <w:style w:type="paragraph" w:customStyle="1" w:styleId="10spCentered">
    <w:name w:val="_1.0sp Centered"/>
    <w:basedOn w:val="Normal0"/>
    <w:pPr>
      <w:spacing w:after="240"/>
      <w:jc w:val="center"/>
    </w:pPr>
  </w:style>
  <w:style w:type="paragraph" w:customStyle="1" w:styleId="10spCenterednospaceafter">
    <w:name w:val="_1.0sp Centered (no space after)"/>
    <w:basedOn w:val="Normal0"/>
    <w:pPr>
      <w:jc w:val="center"/>
    </w:pPr>
  </w:style>
  <w:style w:type="paragraph" w:customStyle="1" w:styleId="10spHanging05">
    <w:name w:val="_1.0sp Hanging 0.5&quot;"/>
    <w:basedOn w:val="Normal0"/>
    <w:pPr>
      <w:spacing w:after="240"/>
      <w:ind w:left="720" w:hanging="720"/>
    </w:pPr>
  </w:style>
  <w:style w:type="paragraph" w:customStyle="1" w:styleId="10spHanging05nospaceafter">
    <w:name w:val="_1.0sp Hanging 0.5&quot; (no space after)"/>
    <w:basedOn w:val="Normal0"/>
    <w:pPr>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0spHanging2">
    <w:name w:val="_1.0sp Hanging 2&quot;"/>
    <w:basedOn w:val="Normal0"/>
    <w:qFormat/>
    <w:pPr>
      <w:spacing w:after="240"/>
      <w:ind w:left="2880" w:hanging="720"/>
    </w:pPr>
  </w:style>
  <w:style w:type="paragraph" w:customStyle="1" w:styleId="10spLeftInd05">
    <w:name w:val="_1.0sp Left Ind 0.5&quot;"/>
    <w:basedOn w:val="Normal0"/>
    <w:pPr>
      <w:spacing w:after="240"/>
      <w:ind w:left="720"/>
    </w:pPr>
  </w:style>
  <w:style w:type="paragraph" w:customStyle="1" w:styleId="10spLeftInd05nospaceafter">
    <w:name w:val="_1.0sp Left Ind 0.5&quot; (no space after)"/>
    <w:basedOn w:val="Normal0"/>
    <w:pPr>
      <w:ind w:left="720"/>
    </w:pPr>
  </w:style>
  <w:style w:type="paragraph" w:customStyle="1" w:styleId="10spLeftInd1">
    <w:name w:val="_1.0sp Left Ind 1&quot;"/>
    <w:basedOn w:val="Normal0"/>
    <w:pPr>
      <w:spacing w:after="240"/>
      <w:ind w:left="1440"/>
    </w:pPr>
  </w:style>
  <w:style w:type="paragraph" w:customStyle="1" w:styleId="10spLeftInd15">
    <w:name w:val="_1.0sp Left Ind 1.5&quot;"/>
    <w:basedOn w:val="Normal0"/>
    <w:pPr>
      <w:spacing w:after="240"/>
      <w:ind w:left="2160"/>
    </w:pPr>
  </w:style>
  <w:style w:type="paragraph" w:customStyle="1" w:styleId="10spLeftInd2">
    <w:name w:val="_1.0sp Left Ind 2&quot;"/>
    <w:basedOn w:val="Normal0"/>
    <w:pPr>
      <w:spacing w:after="240"/>
      <w:ind w:left="2880"/>
    </w:pPr>
  </w:style>
  <w:style w:type="paragraph" w:customStyle="1" w:styleId="10spLeft-Right05">
    <w:name w:val="_1.0sp Left-Right 0.5&quot;"/>
    <w:basedOn w:val="Normal0"/>
    <w:pPr>
      <w:spacing w:after="240"/>
      <w:ind w:left="720" w:right="720"/>
    </w:pPr>
  </w:style>
  <w:style w:type="paragraph" w:customStyle="1" w:styleId="10spLeft-Right1">
    <w:name w:val="_1.0sp Left-Right 1&quot;"/>
    <w:basedOn w:val="Normal0"/>
    <w:pPr>
      <w:spacing w:after="240"/>
      <w:ind w:left="1440" w:right="1440"/>
    </w:pPr>
  </w:style>
  <w:style w:type="paragraph" w:customStyle="1" w:styleId="10spLeft-Right15">
    <w:name w:val="_1.0sp Left-Right 1.5&quot;"/>
    <w:basedOn w:val="Normal0"/>
    <w:pPr>
      <w:spacing w:after="240"/>
      <w:ind w:left="2160" w:right="2160"/>
    </w:pPr>
  </w:style>
  <w:style w:type="paragraph" w:customStyle="1" w:styleId="10spLeft-Right2">
    <w:name w:val="_1.0sp Left-Right 2&quot;"/>
    <w:basedOn w:val="Normal0"/>
    <w:qFormat/>
    <w:pPr>
      <w:spacing w:after="240"/>
      <w:ind w:left="2880" w:right="2880"/>
    </w:pPr>
  </w:style>
  <w:style w:type="paragraph" w:customStyle="1" w:styleId="10spRightAligned">
    <w:name w:val="_1.0sp Right Aligned"/>
    <w:basedOn w:val="Normal0"/>
    <w:pPr>
      <w:spacing w:after="240"/>
      <w:jc w:val="right"/>
    </w:pPr>
  </w:style>
  <w:style w:type="paragraph" w:customStyle="1" w:styleId="15sp0">
    <w:name w:val="_1.5sp 0&quot;"/>
    <w:basedOn w:val="Normal0"/>
    <w:pPr>
      <w:spacing w:line="360" w:lineRule="auto"/>
    </w:pPr>
  </w:style>
  <w:style w:type="paragraph" w:customStyle="1" w:styleId="15sp05">
    <w:name w:val="_1.5sp 0.5&quot;"/>
    <w:basedOn w:val="Normal0"/>
    <w:pPr>
      <w:spacing w:line="360" w:lineRule="auto"/>
      <w:ind w:firstLine="720"/>
    </w:pPr>
  </w:style>
  <w:style w:type="paragraph" w:customStyle="1" w:styleId="15sp1">
    <w:name w:val="_1.5sp 1&quot;"/>
    <w:basedOn w:val="Normal0"/>
    <w:pPr>
      <w:spacing w:line="360" w:lineRule="auto"/>
      <w:ind w:firstLine="1440"/>
    </w:pPr>
  </w:style>
  <w:style w:type="paragraph" w:customStyle="1" w:styleId="15sp15">
    <w:name w:val="_1.5sp 1.5&quot;"/>
    <w:basedOn w:val="Normal0"/>
    <w:pPr>
      <w:spacing w:line="360" w:lineRule="auto"/>
      <w:ind w:firstLine="2160"/>
    </w:pPr>
  </w:style>
  <w:style w:type="paragraph" w:customStyle="1" w:styleId="15sp2">
    <w:name w:val="_1.5sp 2&quot;"/>
    <w:basedOn w:val="Normal0"/>
    <w:qFormat/>
    <w:pPr>
      <w:spacing w:line="360" w:lineRule="auto"/>
      <w:ind w:firstLine="2880"/>
    </w:pPr>
  </w:style>
  <w:style w:type="paragraph" w:customStyle="1" w:styleId="15spCentered">
    <w:name w:val="_1.5sp Centered"/>
    <w:basedOn w:val="Normal0"/>
    <w:pPr>
      <w:spacing w:line="360" w:lineRule="auto"/>
      <w:jc w:val="center"/>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15spHanging2">
    <w:name w:val="_1.5sp Hanging 2&quot;"/>
    <w:basedOn w:val="Normal0"/>
    <w:qFormat/>
    <w:pPr>
      <w:spacing w:line="360" w:lineRule="auto"/>
      <w:ind w:left="2880" w:hanging="72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line="360" w:lineRule="auto"/>
      <w:ind w:left="1440"/>
    </w:pPr>
  </w:style>
  <w:style w:type="paragraph" w:customStyle="1" w:styleId="15spLeftInd15">
    <w:name w:val="_1.5sp Left Ind 1.5&quot;"/>
    <w:basedOn w:val="Normal0"/>
    <w:pPr>
      <w:spacing w:line="360" w:lineRule="auto"/>
      <w:ind w:left="2160"/>
    </w:pPr>
  </w:style>
  <w:style w:type="paragraph" w:customStyle="1" w:styleId="15spLeftInd2">
    <w:name w:val="_1.5sp Left Ind 2&quot;"/>
    <w:basedOn w:val="Normal0"/>
    <w:pPr>
      <w:spacing w:line="360" w:lineRule="auto"/>
      <w:ind w:left="2880"/>
    </w:pPr>
  </w:style>
  <w:style w:type="paragraph" w:customStyle="1" w:styleId="15spLeft-Right05">
    <w:name w:val="_1.5sp Left-Right 0.5&quot;"/>
    <w:basedOn w:val="Normal0"/>
    <w:pPr>
      <w:spacing w:line="360" w:lineRule="auto"/>
      <w:ind w:left="720" w:right="720"/>
    </w:pPr>
  </w:style>
  <w:style w:type="paragraph" w:customStyle="1" w:styleId="15spLeft-Right1">
    <w:name w:val="_1.5sp Left-Right 1&quot;"/>
    <w:basedOn w:val="Normal0"/>
    <w:pPr>
      <w:spacing w:line="360" w:lineRule="auto"/>
      <w:ind w:left="1440" w:right="1440"/>
    </w:pPr>
  </w:style>
  <w:style w:type="paragraph" w:customStyle="1" w:styleId="15spLeft-Right15">
    <w:name w:val="_1.5sp Left-Right 1.5&quot;"/>
    <w:basedOn w:val="Normal0"/>
    <w:pPr>
      <w:spacing w:line="360" w:lineRule="auto"/>
      <w:ind w:left="2160" w:right="2160"/>
    </w:pPr>
  </w:style>
  <w:style w:type="paragraph" w:customStyle="1" w:styleId="15spLeft-Right2">
    <w:name w:val="_1.5sp Left-Right 2&quot;"/>
    <w:basedOn w:val="Normal0"/>
    <w:qFormat/>
    <w:pPr>
      <w:spacing w:line="360" w:lineRule="auto"/>
      <w:ind w:left="2880" w:right="2880"/>
    </w:pPr>
  </w:style>
  <w:style w:type="paragraph" w:customStyle="1" w:styleId="15spRightAligned">
    <w:name w:val="_1.5sp Right Aligned"/>
    <w:basedOn w:val="Normal0"/>
    <w:pPr>
      <w:spacing w:line="360" w:lineRule="auto"/>
      <w:jc w:val="right"/>
    </w:pPr>
  </w:style>
  <w:style w:type="paragraph" w:customStyle="1" w:styleId="20sp0">
    <w:name w:val="_2.0sp 0&quot;"/>
    <w:basedOn w:val="Normal0"/>
    <w:pPr>
      <w:spacing w:line="480" w:lineRule="auto"/>
    </w:p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15">
    <w:name w:val="_2.0sp 1.5&quot;"/>
    <w:basedOn w:val="Normal0"/>
    <w:pPr>
      <w:spacing w:line="480" w:lineRule="auto"/>
      <w:ind w:firstLine="2160"/>
    </w:pPr>
  </w:style>
  <w:style w:type="paragraph" w:customStyle="1" w:styleId="20sp2">
    <w:name w:val="_2.0sp 2&quot;"/>
    <w:basedOn w:val="Normal0"/>
    <w:qFormat/>
    <w:pPr>
      <w:spacing w:line="480" w:lineRule="auto"/>
      <w:ind w:firstLine="2880"/>
    </w:pPr>
  </w:style>
  <w:style w:type="paragraph" w:customStyle="1" w:styleId="20spCentered">
    <w:name w:val="_2.0sp Centered"/>
    <w:basedOn w:val="Normal0"/>
    <w:pPr>
      <w:spacing w:line="480" w:lineRule="auto"/>
      <w:jc w:val="center"/>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20spHanging2">
    <w:name w:val="_2.0sp Hanging 2&quot;"/>
    <w:basedOn w:val="Normal0"/>
    <w:qFormat/>
    <w:pPr>
      <w:spacing w:line="480" w:lineRule="auto"/>
      <w:ind w:left="2880" w:hanging="72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20spLeftInd15">
    <w:name w:val="_2.0sp Left Ind 1.5&quot;"/>
    <w:basedOn w:val="Normal0"/>
    <w:pPr>
      <w:spacing w:line="480" w:lineRule="auto"/>
      <w:ind w:left="2160"/>
    </w:pPr>
  </w:style>
  <w:style w:type="paragraph" w:customStyle="1" w:styleId="20spLeftInd2">
    <w:name w:val="_2.0sp Left Ind 2&quot;"/>
    <w:basedOn w:val="Normal0"/>
    <w:pPr>
      <w:spacing w:line="480" w:lineRule="auto"/>
      <w:ind w:left="2880"/>
    </w:pPr>
  </w:style>
  <w:style w:type="paragraph" w:customStyle="1" w:styleId="20spLeft-Right05">
    <w:name w:val="_2.0sp Left-Right 0.5&quot;"/>
    <w:basedOn w:val="Normal0"/>
    <w:pPr>
      <w:spacing w:line="48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Left-Right15">
    <w:name w:val="_2.0sp Left-Right 1.5&quot;"/>
    <w:basedOn w:val="Normal0"/>
    <w:pPr>
      <w:spacing w:line="480" w:lineRule="auto"/>
      <w:ind w:left="2160" w:right="2160"/>
    </w:pPr>
  </w:style>
  <w:style w:type="paragraph" w:customStyle="1" w:styleId="20spLeft-Right2">
    <w:name w:val="_2.0sp Left-Right 2&quot;"/>
    <w:basedOn w:val="Normal0"/>
    <w:qFormat/>
    <w:pPr>
      <w:spacing w:line="480" w:lineRule="auto"/>
      <w:ind w:left="2880" w:right="2880"/>
    </w:pPr>
  </w:style>
  <w:style w:type="paragraph" w:customStyle="1" w:styleId="20spRightAligned">
    <w:name w:val="_2.0sp Right Aligned"/>
    <w:basedOn w:val="Normal0"/>
    <w:pPr>
      <w:spacing w:line="480" w:lineRule="auto"/>
      <w:jc w:val="right"/>
    </w:pPr>
  </w:style>
  <w:style w:type="paragraph" w:customStyle="1" w:styleId="CustomHeading1">
    <w:name w:val="_Custom Heading 1"/>
    <w:basedOn w:val="Normal0"/>
    <w:pPr>
      <w:keepNext/>
      <w:keepLines/>
      <w:spacing w:after="240"/>
      <w:jc w:val="center"/>
    </w:p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Italic">
    <w:name w:val="_Hdg Center Bold-Italic"/>
    <w:basedOn w:val="Normal0"/>
    <w:pPr>
      <w:keepNext/>
      <w:keepLines/>
      <w:spacing w:after="240"/>
      <w:jc w:val="center"/>
    </w:pPr>
    <w:rPr>
      <w:b/>
      <w:i/>
    </w:rPr>
  </w:style>
  <w:style w:type="paragraph" w:customStyle="1" w:styleId="HdgCenterBold-Und">
    <w:name w:val="_Hdg Center Bold-Und"/>
    <w:basedOn w:val="Normal0"/>
    <w:pPr>
      <w:keepNext/>
      <w:keepLines/>
      <w:spacing w:after="240"/>
      <w:jc w:val="center"/>
    </w:pPr>
    <w:rPr>
      <w:b/>
      <w:u w:val="single"/>
    </w:rPr>
  </w:style>
  <w:style w:type="paragraph" w:customStyle="1" w:styleId="HdgCenterBold-Und-Italic">
    <w:name w:val="_Hdg Center Bold-Und-Italic"/>
    <w:basedOn w:val="Normal0"/>
    <w:pPr>
      <w:keepNext/>
      <w:keepLines/>
      <w:spacing w:after="240"/>
      <w:jc w:val="center"/>
    </w:pPr>
    <w:rPr>
      <w:b/>
      <w:i/>
      <w:u w:val="single"/>
    </w:rPr>
  </w:style>
  <w:style w:type="paragraph" w:customStyle="1" w:styleId="HdgCenterItalic">
    <w:name w:val="_Hdg Center Italic"/>
    <w:basedOn w:val="Normal0"/>
    <w:pPr>
      <w:keepNext/>
      <w:keepLines/>
      <w:spacing w:after="240"/>
      <w:jc w:val="center"/>
    </w:pPr>
    <w:rPr>
      <w:i/>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Italic">
    <w:name w:val="_Hdg Left Bold-Italic"/>
    <w:basedOn w:val="Normal0"/>
    <w:pPr>
      <w:keepNext/>
      <w:keepLines/>
      <w:spacing w:after="240"/>
    </w:pPr>
    <w:rPr>
      <w:b/>
      <w:i/>
    </w:rPr>
  </w:style>
  <w:style w:type="paragraph" w:customStyle="1" w:styleId="HdgLeftBold-Und">
    <w:name w:val="_Hdg Left Bold-Und"/>
    <w:basedOn w:val="Normal0"/>
    <w:pPr>
      <w:keepNext/>
      <w:keepLines/>
      <w:spacing w:after="240"/>
    </w:pPr>
    <w:rPr>
      <w:b/>
      <w:u w:val="single"/>
    </w:rPr>
  </w:style>
  <w:style w:type="paragraph" w:customStyle="1" w:styleId="HdgLeftBold-Und-Italic">
    <w:name w:val="_Hdg Left Bold-Und-Italic"/>
    <w:basedOn w:val="Normal0"/>
    <w:pPr>
      <w:keepNext/>
      <w:keepLines/>
      <w:spacing w:after="240"/>
    </w:pPr>
    <w:rPr>
      <w:b/>
      <w:i/>
      <w:u w:val="single"/>
    </w:rPr>
  </w:style>
  <w:style w:type="paragraph" w:customStyle="1" w:styleId="HdgLeftItalic">
    <w:name w:val="_Hdg Left Italic"/>
    <w:basedOn w:val="Normal0"/>
    <w:pPr>
      <w:keepNext/>
      <w:keepLines/>
      <w:spacing w:after="240"/>
    </w:pPr>
    <w:rPr>
      <w:i/>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keepNext/>
      <w:keepLines/>
      <w:spacing w:after="240"/>
      <w:jc w:val="right"/>
    </w:pPr>
  </w:style>
  <w:style w:type="paragraph" w:customStyle="1" w:styleId="HdgRightBold">
    <w:name w:val="_Hdg Right Bold"/>
    <w:basedOn w:val="Normal0"/>
    <w:pPr>
      <w:keepNext/>
      <w:keepLines/>
      <w:spacing w:after="240"/>
      <w:jc w:val="right"/>
    </w:pPr>
    <w:rPr>
      <w:b/>
    </w:rPr>
  </w:style>
  <w:style w:type="paragraph" w:customStyle="1" w:styleId="HdgRightBold-Italic">
    <w:name w:val="_Hdg Right Bold-Italic"/>
    <w:basedOn w:val="Normal0"/>
    <w:pPr>
      <w:keepNext/>
      <w:keepLines/>
      <w:spacing w:after="240"/>
      <w:jc w:val="right"/>
    </w:pPr>
    <w:rPr>
      <w:b/>
      <w:i/>
    </w:rPr>
  </w:style>
  <w:style w:type="paragraph" w:customStyle="1" w:styleId="HdgRightBold-Und">
    <w:name w:val="_Hdg Right Bold-Und"/>
    <w:basedOn w:val="Normal0"/>
    <w:pPr>
      <w:keepNext/>
      <w:keepLines/>
      <w:spacing w:after="240"/>
      <w:jc w:val="right"/>
    </w:pPr>
    <w:rPr>
      <w:b/>
      <w:u w:val="single"/>
    </w:rPr>
  </w:style>
  <w:style w:type="paragraph" w:customStyle="1" w:styleId="HdgRightBold-Und-Italic">
    <w:name w:val="_Hdg Right Bold-Und-Italic"/>
    <w:basedOn w:val="Normal0"/>
    <w:pPr>
      <w:keepNext/>
      <w:keepLines/>
      <w:spacing w:after="240"/>
      <w:jc w:val="right"/>
    </w:pPr>
    <w:rPr>
      <w:b/>
      <w:i/>
      <w:u w:val="single"/>
    </w:rPr>
  </w:style>
  <w:style w:type="paragraph" w:customStyle="1" w:styleId="HdgRightItalic">
    <w:name w:val="_Hdg Right Italic"/>
    <w:basedOn w:val="Normal0"/>
    <w:pPr>
      <w:keepNext/>
      <w:keepLines/>
      <w:spacing w:after="240"/>
      <w:jc w:val="right"/>
    </w:pPr>
    <w:rPr>
      <w:i/>
    </w:rPr>
  </w:style>
  <w:style w:type="paragraph" w:customStyle="1" w:styleId="HdgRightUnd">
    <w:name w:val="_Hdg Right Und"/>
    <w:basedOn w:val="Normal0"/>
    <w:pPr>
      <w:keepNext/>
      <w:keepLines/>
      <w:spacing w:after="240"/>
      <w:jc w:val="right"/>
    </w:pPr>
    <w:rPr>
      <w:u w:val="single"/>
    </w:rPr>
  </w:style>
  <w:style w:type="paragraph" w:customStyle="1" w:styleId="Index">
    <w:name w:val="_Index"/>
    <w:basedOn w:val="Normal0"/>
    <w:pPr>
      <w:tabs>
        <w:tab w:val="right" w:pos="9360"/>
      </w:tabs>
    </w:pPr>
  </w:style>
  <w:style w:type="paragraph" w:customStyle="1" w:styleId="IndexDotLeaders">
    <w:name w:val="_Index Dot Leaders"/>
    <w:basedOn w:val="Normal0"/>
    <w:pPr>
      <w:tabs>
        <w:tab w:val="right" w:leader="dot" w:pos="8928"/>
        <w:tab w:val="right" w:pos="9360"/>
      </w:tabs>
    </w:pPr>
  </w:style>
  <w:style w:type="paragraph" w:customStyle="1" w:styleId="Non-NumberedHdg1">
    <w:name w:val="_Non-Numbered Hdg 1"/>
    <w:basedOn w:val="Normal0"/>
    <w:pPr>
      <w:keepNext/>
      <w:keepLines/>
      <w:spacing w:after="240"/>
      <w:jc w:val="center"/>
      <w:outlineLvl w:val="0"/>
    </w:pPr>
    <w:rPr>
      <w:b/>
      <w:u w:val="single"/>
    </w:rPr>
  </w:style>
  <w:style w:type="paragraph" w:customStyle="1" w:styleId="Non-NumberedHdg2">
    <w:name w:val="_Non-Numbered Hdg 2"/>
    <w:basedOn w:val="Normal0"/>
    <w:pPr>
      <w:keepNext/>
      <w:keepLines/>
      <w:spacing w:after="240"/>
      <w:outlineLvl w:val="1"/>
    </w:pPr>
    <w:rPr>
      <w:b/>
      <w:u w:val="single"/>
    </w:rPr>
  </w:style>
  <w:style w:type="paragraph" w:customStyle="1" w:styleId="Non-NumberedHdg3">
    <w:name w:val="_Non-Numbered Hdg 3"/>
    <w:basedOn w:val="Normal0"/>
    <w:pPr>
      <w:keepNext/>
      <w:keepLines/>
      <w:spacing w:after="240"/>
      <w:ind w:left="720"/>
      <w:outlineLvl w:val="2"/>
    </w:pPr>
    <w:rPr>
      <w:u w:val="single"/>
    </w:r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DotLeader">
    <w:name w:val="_Table Dot Leader"/>
    <w:basedOn w:val="Normal0"/>
    <w:pPr>
      <w:tabs>
        <w:tab w:val="right" w:leader="dot" w:pos="2160"/>
      </w:tabs>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customStyle="1" w:styleId="TableLeftAlign">
    <w:name w:val="_Table Left Align"/>
    <w:basedOn w:val="Normal0"/>
  </w:style>
  <w:style w:type="paragraph" w:customStyle="1" w:styleId="TableRightAlign">
    <w:name w:val="_Table Right Align"/>
    <w:basedOn w:val="Normal0"/>
    <w:pPr>
      <w:jc w:val="right"/>
    </w:pPr>
  </w:style>
  <w:style w:type="paragraph" w:styleId="FootnoteText">
    <w:name w:val="footnote text"/>
    <w:basedOn w:val="Normal0"/>
    <w:link w:val="FootnoteTextChar"/>
  </w:style>
  <w:style w:type="character" w:customStyle="1" w:styleId="FootnoteTextChar">
    <w:name w:val="Footnote Text Char"/>
    <w:basedOn w:val="DefaultParagraphFont"/>
    <w:link w:val="FootnoteText"/>
    <w:rPr>
      <w:rFonts w:ascii="Times New Roman" w:eastAsia="SimSun" w:hAnsi="Times New Roman" w:cs="Times New Roman"/>
      <w:sz w:val="24"/>
      <w:szCs w:val="20"/>
    </w:rPr>
  </w:style>
  <w:style w:type="paragraph" w:styleId="ListBullet">
    <w:name w:val="List Bullet"/>
    <w:basedOn w:val="Normal"/>
    <w:pPr>
      <w:numPr>
        <w:numId w:val="3"/>
      </w:numPr>
      <w:spacing w:after="240"/>
    </w:pPr>
    <w:rPr>
      <w:rFonts w:eastAsia="SimSun"/>
      <w:szCs w:val="24"/>
      <w:lang w:eastAsia="zh-CN"/>
    </w:rPr>
  </w:style>
  <w:style w:type="paragraph" w:styleId="ListBullet2">
    <w:name w:val="List Bullet 2"/>
    <w:basedOn w:val="Normal"/>
    <w:pPr>
      <w:numPr>
        <w:numId w:val="5"/>
      </w:numPr>
      <w:spacing w:after="240"/>
    </w:pPr>
    <w:rPr>
      <w:rFonts w:eastAsia="SimSun"/>
      <w:szCs w:val="24"/>
      <w:lang w:eastAsia="zh-CN"/>
    </w:rPr>
  </w:style>
  <w:style w:type="paragraph" w:styleId="ListBullet3">
    <w:name w:val="List Bullet 3"/>
    <w:basedOn w:val="Normal"/>
    <w:pPr>
      <w:numPr>
        <w:numId w:val="7"/>
      </w:numPr>
      <w:spacing w:after="240"/>
    </w:pPr>
    <w:rPr>
      <w:rFonts w:eastAsia="SimSun"/>
      <w:szCs w:val="24"/>
      <w:lang w:eastAsia="zh-CN"/>
    </w:rPr>
  </w:style>
  <w:style w:type="paragraph" w:styleId="ListBullet4">
    <w:name w:val="List Bullet 4"/>
    <w:basedOn w:val="Normal"/>
    <w:pPr>
      <w:numPr>
        <w:numId w:val="9"/>
      </w:numPr>
      <w:spacing w:after="240"/>
    </w:pPr>
    <w:rPr>
      <w:rFonts w:eastAsia="SimSun"/>
      <w:szCs w:val="24"/>
      <w:lang w:eastAsia="zh-CN"/>
    </w:rPr>
  </w:style>
  <w:style w:type="paragraph" w:styleId="ListBullet5">
    <w:name w:val="List Bullet 5"/>
    <w:basedOn w:val="Normal"/>
    <w:pPr>
      <w:numPr>
        <w:numId w:val="11"/>
      </w:numPr>
      <w:spacing w:after="240"/>
    </w:pPr>
    <w:rPr>
      <w:rFonts w:eastAsia="SimSun"/>
      <w:szCs w:val="24"/>
      <w:lang w:eastAsia="zh-CN"/>
    </w:rPr>
  </w:style>
  <w:style w:type="paragraph" w:styleId="Header">
    <w:name w:val="header"/>
    <w:basedOn w:val="Normal0"/>
    <w:link w:val="HeaderChar"/>
    <w:pPr>
      <w:tabs>
        <w:tab w:val="center" w:pos="4680"/>
        <w:tab w:val="right" w:pos="9360"/>
      </w:tabs>
      <w:suppressAutoHyphens w:val="0"/>
      <w:jc w:val="right"/>
    </w:pPr>
    <w:rPr>
      <w:rFonts w:eastAsia="Times New Roman"/>
    </w:rPr>
  </w:style>
  <w:style w:type="character" w:customStyle="1" w:styleId="HeaderChar">
    <w:name w:val="Header Char"/>
    <w:basedOn w:val="DefaultParagraphFont"/>
    <w:link w:val="Header"/>
    <w:rPr>
      <w:rFonts w:ascii="Times New Roman" w:eastAsia="Times New Roman" w:hAnsi="Times New Roman" w:cs="Times New Roman"/>
      <w:sz w:val="24"/>
      <w:szCs w:val="20"/>
    </w:rPr>
  </w:style>
  <w:style w:type="character" w:styleId="PageNumber">
    <w:name w:val="page number"/>
    <w:basedOn w:val="DefaultParagraphFont"/>
  </w:style>
  <w:style w:type="paragraph" w:customStyle="1" w:styleId="Reline">
    <w:name w:val="_Reline"/>
    <w:basedOn w:val="Normal0"/>
    <w:pPr>
      <w:suppressAutoHyphens w:val="0"/>
      <w:ind w:left="720" w:hanging="720"/>
    </w:pPr>
    <w:rPr>
      <w:rFonts w:eastAsia="Times New Roman"/>
    </w:rPr>
  </w:style>
  <w:style w:type="paragraph" w:customStyle="1" w:styleId="Date">
    <w:name w:val="_Date"/>
    <w:basedOn w:val="Normal0"/>
    <w:next w:val="Normal0"/>
    <w:pPr>
      <w:suppressAutoHyphens w:val="0"/>
      <w:spacing w:after="480"/>
    </w:pPr>
    <w:rPr>
      <w:rFonts w:eastAsia="Times New Roman"/>
    </w:rPr>
  </w:style>
  <w:style w:type="paragraph" w:customStyle="1" w:styleId="Confidentiality">
    <w:name w:val="_Confidentiality"/>
    <w:basedOn w:val="Normal0"/>
    <w:rsid w:val="003E0AD0"/>
    <w:pPr>
      <w:suppressAutoHyphens w:val="0"/>
    </w:pPr>
    <w:rPr>
      <w:rFonts w:eastAsia="Times New Roman"/>
      <w:b/>
      <w:smallCaps/>
    </w:rPr>
  </w:style>
  <w:style w:type="paragraph" w:customStyle="1" w:styleId="Delivery">
    <w:name w:val="_Delivery"/>
    <w:basedOn w:val="Normal0"/>
    <w:pPr>
      <w:suppressAutoHyphens w:val="0"/>
    </w:pPr>
    <w:rPr>
      <w:rFonts w:eastAsia="Times New Roman"/>
      <w:b/>
      <w:smallCaps/>
      <w:u w:val="single"/>
    </w:rPr>
  </w:style>
  <w:style w:type="paragraph" w:customStyle="1" w:styleId="LetterHeader">
    <w:name w:val="_Letter Header"/>
    <w:basedOn w:val="Normal0"/>
    <w:pPr>
      <w:suppressAutoHyphens w:val="0"/>
      <w:spacing w:after="1840"/>
    </w:pPr>
    <w:rPr>
      <w:rFonts w:eastAsia="Times New Roman"/>
    </w:rPr>
  </w:style>
  <w:style w:type="paragraph" w:customStyle="1" w:styleId="Dear">
    <w:name w:val="_Dear"/>
    <w:basedOn w:val="Normal0"/>
    <w:next w:val="10sp0"/>
    <w:pPr>
      <w:suppressAutoHyphens w:val="0"/>
      <w:spacing w:after="240"/>
    </w:pPr>
    <w:rPr>
      <w:rFonts w:eastAsia="Times New Roman"/>
    </w:rPr>
  </w:style>
  <w:style w:type="table" w:styleId="TableGrid">
    <w:name w:val="Table Grid"/>
    <w:basedOn w:val="TableNormal"/>
    <w:uiPriority w:val="5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hAnsi="Times New Roman"/>
      <w:sz w:val="24"/>
    </w:rPr>
  </w:style>
  <w:style w:type="paragraph" w:customStyle="1" w:styleId="ConfidentialityHeader">
    <w:name w:val="_Confidentiality Header"/>
    <w:basedOn w:val="Normal"/>
    <w:rsid w:val="003E0AD0"/>
    <w:pPr>
      <w:suppressAutoHyphens w:val="0"/>
      <w:jc w:val="right"/>
    </w:pPr>
    <w:rPr>
      <w:rFonts w:ascii="Times New Roman Bold" w:eastAsia="Times New Roman" w:hAnsi="Times New Roman Bold"/>
      <w:b/>
      <w:smallCaps/>
      <w:szCs w:val="20"/>
    </w:rPr>
  </w:style>
  <w:style w:type="paragraph" w:customStyle="1" w:styleId="DeliveryHeader">
    <w:name w:val="_Delivery Header"/>
    <w:basedOn w:val="Normal"/>
    <w:rsid w:val="0001482A"/>
    <w:pPr>
      <w:suppressAutoHyphens w:val="0"/>
      <w:jc w:val="right"/>
    </w:pPr>
    <w:rPr>
      <w:rFonts w:ascii="Times New Roman Bold" w:eastAsia="Times New Roman" w:hAnsi="Times New Roman Bold"/>
      <w:b/>
      <w:smallCaps/>
      <w:szCs w:val="20"/>
      <w:u w:val="single"/>
    </w:rPr>
  </w:style>
  <w:style w:type="character" w:styleId="FootnoteReference">
    <w:name w:val="footnote reference"/>
    <w:basedOn w:val="DefaultParagraphFont"/>
    <w:uiPriority w:val="99"/>
    <w:semiHidden/>
    <w:unhideWhenUsed/>
    <w:rPr>
      <w:vertAlign w:val="superscript"/>
    </w:rPr>
  </w:style>
  <w:style w:type="paragraph" w:customStyle="1" w:styleId="LetterSigBlock">
    <w:name w:val="_Letter Sig Block"/>
    <w:basedOn w:val="Normal0"/>
    <w:rsid w:val="003208C0"/>
    <w:pPr>
      <w:suppressAutoHyphens w:val="0"/>
    </w:pPr>
    <w:rPr>
      <w:rFonts w:eastAsia="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1835</Words>
  <Characters>9311</Characters>
  <Application>Microsoft Office Word</Application>
  <DocSecurity>0</DocSecurity>
  <Lines>142</Lines>
  <Paragraphs>15</Paragraphs>
  <ScaleCrop>false</ScaleCrop>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Candace</dc:creator>
  <cp:lastModifiedBy>Candace Horsley</cp:lastModifiedBy>
  <cp:revision>2</cp:revision>
  <dcterms:created xsi:type="dcterms:W3CDTF">2026-03-13T04:23:00Z</dcterms:created>
  <dcterms:modified xsi:type="dcterms:W3CDTF">2026-03-13T04:23:00Z</dcterms:modified>
</cp:coreProperties>
</file>